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15E8" w14:textId="77777777" w:rsidR="00EB4A58" w:rsidRDefault="00FB5E6C" w:rsidP="00C03BCA">
      <w:pPr>
        <w:pStyle w:val="DocumentTitle"/>
        <w:outlineLvl w:val="0"/>
      </w:pPr>
      <w:r>
        <w:t>briefing</w:t>
      </w:r>
    </w:p>
    <w:p w14:paraId="054F44BE" w14:textId="6EF8FF05" w:rsidR="005D2233" w:rsidRDefault="005D2233" w:rsidP="0038414C">
      <w:pPr>
        <w:pStyle w:val="SubjectHeader"/>
      </w:pPr>
      <w:r>
        <w:t>Final Regulatory Framework</w:t>
      </w:r>
      <w:r w:rsidR="00352C21">
        <w:t xml:space="preserve"> </w:t>
      </w:r>
      <w:r>
        <w:t>–</w:t>
      </w:r>
      <w:r w:rsidR="00352C21">
        <w:t xml:space="preserve"> </w:t>
      </w:r>
      <w:r>
        <w:t>What has changed</w:t>
      </w:r>
      <w:r w:rsidR="0008757F">
        <w:t xml:space="preserve"> since the consultation</w:t>
      </w:r>
      <w:r>
        <w:t>?</w:t>
      </w:r>
    </w:p>
    <w:p w14:paraId="4D0CF03C" w14:textId="77777777" w:rsidR="0038414C" w:rsidRDefault="005D2233" w:rsidP="0038414C">
      <w:pPr>
        <w:pStyle w:val="SubjectHeader"/>
      </w:pPr>
      <w:r>
        <w:t>March 2019</w:t>
      </w:r>
    </w:p>
    <w:p w14:paraId="04690504" w14:textId="77777777" w:rsidR="00CD36FB" w:rsidRPr="00B52A08" w:rsidRDefault="00CD36FB" w:rsidP="003416EA">
      <w:pPr>
        <w:pStyle w:val="MainText"/>
        <w:numPr>
          <w:ilvl w:val="0"/>
          <w:numId w:val="7"/>
        </w:numPr>
        <w:spacing w:beforeLines="80" w:before="192" w:afterLines="80" w:after="192" w:line="280" w:lineRule="atLeast"/>
        <w:rPr>
          <w:rFonts w:cs="Arial"/>
          <w:b/>
          <w:szCs w:val="22"/>
          <w:lang w:val="en"/>
        </w:rPr>
      </w:pPr>
      <w:bookmarkStart w:id="0" w:name="_GoBack"/>
      <w:r w:rsidRPr="00B52A08">
        <w:rPr>
          <w:rFonts w:cs="Arial"/>
          <w:b/>
          <w:szCs w:val="22"/>
          <w:lang w:val="en"/>
        </w:rPr>
        <w:t>Background</w:t>
      </w:r>
    </w:p>
    <w:p w14:paraId="4BF22E6A" w14:textId="77777777" w:rsidR="005D2233" w:rsidRPr="00B52A08" w:rsidRDefault="005D2233" w:rsidP="003416EA">
      <w:pPr>
        <w:pStyle w:val="NormalWeb"/>
        <w:jc w:val="both"/>
        <w:rPr>
          <w:rFonts w:ascii="Arial" w:hAnsi="Arial" w:cs="Arial"/>
          <w:color w:val="000000"/>
          <w:sz w:val="22"/>
          <w:szCs w:val="22"/>
        </w:rPr>
      </w:pPr>
      <w:r w:rsidRPr="00B52A08">
        <w:rPr>
          <w:rFonts w:ascii="Arial" w:hAnsi="Arial" w:cs="Arial"/>
          <w:color w:val="000000"/>
          <w:sz w:val="22"/>
          <w:szCs w:val="22"/>
        </w:rPr>
        <w:t>On 28 February 2019, the Scottish Housing Regulator published the finalised Regulatory Framework and statutory guidance, which will come into effect from 1 April 2019.   The SHR has also published its response to consultation feedback.   Both are available via the links below:</w:t>
      </w:r>
    </w:p>
    <w:p w14:paraId="24EB68AF" w14:textId="77777777" w:rsidR="005D2233" w:rsidRPr="00B52A08" w:rsidRDefault="003416EA" w:rsidP="003416EA">
      <w:pPr>
        <w:pStyle w:val="NormalWeb"/>
        <w:jc w:val="both"/>
        <w:rPr>
          <w:rFonts w:ascii="Arial" w:hAnsi="Arial" w:cs="Arial"/>
          <w:color w:val="000000"/>
          <w:sz w:val="22"/>
          <w:szCs w:val="22"/>
        </w:rPr>
      </w:pPr>
      <w:hyperlink r:id="rId8" w:history="1">
        <w:r w:rsidR="005D2233" w:rsidRPr="00B52A08">
          <w:rPr>
            <w:rStyle w:val="Hyperlink"/>
            <w:rFonts w:cs="Arial"/>
            <w:color w:val="3E8EDE"/>
            <w:szCs w:val="22"/>
          </w:rPr>
          <w:t>SHR Regulatory Framework and Guidance</w:t>
        </w:r>
      </w:hyperlink>
    </w:p>
    <w:p w14:paraId="761BC2AF" w14:textId="77777777" w:rsidR="005D2233" w:rsidRPr="00B52A08" w:rsidRDefault="003416EA" w:rsidP="003416EA">
      <w:pPr>
        <w:pStyle w:val="NormalWeb"/>
        <w:jc w:val="both"/>
        <w:rPr>
          <w:rFonts w:ascii="Arial" w:hAnsi="Arial" w:cs="Arial"/>
          <w:color w:val="000000"/>
          <w:sz w:val="22"/>
          <w:szCs w:val="22"/>
        </w:rPr>
      </w:pPr>
      <w:hyperlink r:id="rId9" w:history="1">
        <w:r w:rsidR="005D2233" w:rsidRPr="00B52A08">
          <w:rPr>
            <w:rStyle w:val="Hyperlink"/>
            <w:rFonts w:cs="Arial"/>
            <w:color w:val="3E8EDE"/>
            <w:szCs w:val="22"/>
          </w:rPr>
          <w:t>SHR Response to Consultation Feedback Feb 2018</w:t>
        </w:r>
      </w:hyperlink>
    </w:p>
    <w:p w14:paraId="2208ADDC" w14:textId="77777777" w:rsidR="005D2233" w:rsidRPr="00B52A08" w:rsidRDefault="005D2233" w:rsidP="003416EA">
      <w:pPr>
        <w:pStyle w:val="NormalWeb"/>
        <w:jc w:val="both"/>
        <w:rPr>
          <w:rFonts w:ascii="Arial" w:hAnsi="Arial" w:cs="Arial"/>
          <w:color w:val="000000"/>
          <w:sz w:val="22"/>
          <w:szCs w:val="22"/>
        </w:rPr>
      </w:pPr>
      <w:r w:rsidRPr="00B52A08">
        <w:rPr>
          <w:rFonts w:ascii="Arial" w:hAnsi="Arial" w:cs="Arial"/>
          <w:color w:val="000000"/>
          <w:sz w:val="22"/>
          <w:szCs w:val="22"/>
        </w:rPr>
        <w:t>The final framework comes after a comprehensive period of consultation</w:t>
      </w:r>
      <w:r w:rsidR="004F12D1" w:rsidRPr="00B52A08">
        <w:rPr>
          <w:rFonts w:ascii="Arial" w:hAnsi="Arial" w:cs="Arial"/>
          <w:color w:val="000000"/>
          <w:sz w:val="22"/>
          <w:szCs w:val="22"/>
        </w:rPr>
        <w:t xml:space="preserve"> that began in 2017.  SFHA used a number of methods to gather member views during this time, including putting together a Regulatory Sounding Board that met throughout the process; fe</w:t>
      </w:r>
      <w:r w:rsidR="00B03BF0" w:rsidRPr="00B52A08">
        <w:rPr>
          <w:rFonts w:ascii="Arial" w:hAnsi="Arial" w:cs="Arial"/>
          <w:color w:val="000000"/>
          <w:sz w:val="22"/>
          <w:szCs w:val="22"/>
        </w:rPr>
        <w:t>eding</w:t>
      </w:r>
      <w:r w:rsidR="004F12D1" w:rsidRPr="00B52A08">
        <w:rPr>
          <w:rFonts w:ascii="Arial" w:hAnsi="Arial" w:cs="Arial"/>
          <w:color w:val="000000"/>
          <w:sz w:val="22"/>
          <w:szCs w:val="22"/>
        </w:rPr>
        <w:t xml:space="preserve"> into and </w:t>
      </w:r>
      <w:r w:rsidR="00B03BF0" w:rsidRPr="00B52A08">
        <w:rPr>
          <w:rFonts w:ascii="Arial" w:hAnsi="Arial" w:cs="Arial"/>
          <w:color w:val="000000"/>
          <w:sz w:val="22"/>
          <w:szCs w:val="22"/>
        </w:rPr>
        <w:t>helping to develop</w:t>
      </w:r>
      <w:r w:rsidR="004F12D1" w:rsidRPr="00B52A08">
        <w:rPr>
          <w:rFonts w:ascii="Arial" w:hAnsi="Arial" w:cs="Arial"/>
          <w:color w:val="000000"/>
          <w:sz w:val="22"/>
          <w:szCs w:val="22"/>
        </w:rPr>
        <w:t xml:space="preserve"> an ongoing SHR Working Group to look at the specifics of some of the proposals; h</w:t>
      </w:r>
      <w:r w:rsidR="00B03BF0" w:rsidRPr="00B52A08">
        <w:rPr>
          <w:rFonts w:ascii="Arial" w:hAnsi="Arial" w:cs="Arial"/>
          <w:color w:val="000000"/>
          <w:sz w:val="22"/>
          <w:szCs w:val="22"/>
        </w:rPr>
        <w:t>olding</w:t>
      </w:r>
      <w:r w:rsidR="004F12D1" w:rsidRPr="00B52A08">
        <w:rPr>
          <w:rFonts w:ascii="Arial" w:hAnsi="Arial" w:cs="Arial"/>
          <w:color w:val="000000"/>
          <w:sz w:val="22"/>
          <w:szCs w:val="22"/>
        </w:rPr>
        <w:t xml:space="preserve"> consultation events in conjunction with the SHR; and gather</w:t>
      </w:r>
      <w:r w:rsidR="00B03BF0" w:rsidRPr="00B52A08">
        <w:rPr>
          <w:rFonts w:ascii="Arial" w:hAnsi="Arial" w:cs="Arial"/>
          <w:color w:val="000000"/>
          <w:sz w:val="22"/>
          <w:szCs w:val="22"/>
        </w:rPr>
        <w:t>ing</w:t>
      </w:r>
      <w:r w:rsidR="004F12D1" w:rsidRPr="00B52A08">
        <w:rPr>
          <w:rFonts w:ascii="Arial" w:hAnsi="Arial" w:cs="Arial"/>
          <w:color w:val="000000"/>
          <w:sz w:val="22"/>
          <w:szCs w:val="22"/>
        </w:rPr>
        <w:t xml:space="preserve"> views through our practitioner forums.   </w:t>
      </w:r>
      <w:r w:rsidRPr="00B52A08">
        <w:rPr>
          <w:rFonts w:ascii="Arial" w:hAnsi="Arial" w:cs="Arial"/>
          <w:color w:val="000000"/>
          <w:sz w:val="22"/>
          <w:szCs w:val="22"/>
        </w:rPr>
        <w:t xml:space="preserve"> </w:t>
      </w:r>
      <w:r w:rsidR="00B03BF0" w:rsidRPr="00B52A08">
        <w:rPr>
          <w:rFonts w:ascii="Arial" w:hAnsi="Arial" w:cs="Arial"/>
          <w:color w:val="000000"/>
          <w:sz w:val="22"/>
          <w:szCs w:val="22"/>
        </w:rPr>
        <w:t>Using all of the feedback received, SFHA submitted a response both to the informal Discussion Paper in April 2018</w:t>
      </w:r>
      <w:r w:rsidR="00B03BF0" w:rsidRPr="00B52A08">
        <w:rPr>
          <w:rStyle w:val="FootnoteReference"/>
          <w:rFonts w:ascii="Arial" w:hAnsi="Arial" w:cs="Arial"/>
          <w:color w:val="000000"/>
          <w:sz w:val="22"/>
          <w:szCs w:val="22"/>
        </w:rPr>
        <w:footnoteReference w:id="1"/>
      </w:r>
      <w:r w:rsidR="00B03BF0" w:rsidRPr="00B52A08">
        <w:rPr>
          <w:rFonts w:ascii="Arial" w:hAnsi="Arial" w:cs="Arial"/>
          <w:color w:val="000000"/>
          <w:sz w:val="22"/>
          <w:szCs w:val="22"/>
        </w:rPr>
        <w:t>, and to the formal consultation in December 2018.   The SFHA response, and an accompanying appendix outlining comments on Regulatory Standards, are available below:</w:t>
      </w:r>
    </w:p>
    <w:p w14:paraId="4202952F" w14:textId="77777777" w:rsidR="005D2233" w:rsidRPr="00B52A08" w:rsidRDefault="003416EA" w:rsidP="003416EA">
      <w:pPr>
        <w:pStyle w:val="NormalWeb"/>
        <w:jc w:val="both"/>
        <w:rPr>
          <w:rFonts w:ascii="Arial" w:hAnsi="Arial" w:cs="Arial"/>
          <w:color w:val="000000"/>
          <w:sz w:val="22"/>
          <w:szCs w:val="22"/>
        </w:rPr>
      </w:pPr>
      <w:hyperlink r:id="rId10" w:history="1">
        <w:r w:rsidR="00B03BF0" w:rsidRPr="00B52A08">
          <w:rPr>
            <w:rStyle w:val="Hyperlink"/>
            <w:rFonts w:cs="Arial"/>
            <w:szCs w:val="22"/>
          </w:rPr>
          <w:t>SFHA Response to SHR Consultation December 2018</w:t>
        </w:r>
      </w:hyperlink>
    </w:p>
    <w:p w14:paraId="7821F1C1" w14:textId="77777777" w:rsidR="00B03BF0" w:rsidRPr="00B52A08" w:rsidRDefault="003416EA" w:rsidP="003416EA">
      <w:pPr>
        <w:pStyle w:val="NormalWeb"/>
        <w:jc w:val="both"/>
        <w:rPr>
          <w:rFonts w:ascii="Arial" w:hAnsi="Arial" w:cs="Arial"/>
          <w:color w:val="000000"/>
          <w:sz w:val="22"/>
          <w:szCs w:val="22"/>
        </w:rPr>
      </w:pPr>
      <w:hyperlink r:id="rId11" w:history="1">
        <w:r w:rsidR="00B03BF0" w:rsidRPr="00B52A08">
          <w:rPr>
            <w:rStyle w:val="Hyperlink"/>
            <w:rFonts w:cs="Arial"/>
            <w:szCs w:val="22"/>
          </w:rPr>
          <w:t>Accompanying Appendix to SFHA Response - Comments on Regulatory Standards</w:t>
        </w:r>
      </w:hyperlink>
    </w:p>
    <w:p w14:paraId="6281AF16" w14:textId="280BDB24" w:rsidR="00511CAE" w:rsidRPr="00511CAE" w:rsidRDefault="00B03BF0" w:rsidP="003416EA">
      <w:pPr>
        <w:pStyle w:val="NormalWeb"/>
        <w:jc w:val="both"/>
        <w:rPr>
          <w:rFonts w:ascii="Arial" w:hAnsi="Arial" w:cs="Arial"/>
          <w:color w:val="000000"/>
          <w:sz w:val="22"/>
          <w:szCs w:val="22"/>
        </w:rPr>
      </w:pPr>
      <w:r w:rsidRPr="00B52A08">
        <w:rPr>
          <w:rFonts w:ascii="Arial" w:hAnsi="Arial" w:cs="Arial"/>
          <w:color w:val="000000"/>
          <w:sz w:val="22"/>
          <w:szCs w:val="22"/>
        </w:rPr>
        <w:t xml:space="preserve">The SHR has made a number of </w:t>
      </w:r>
      <w:r w:rsidR="00B52A08" w:rsidRPr="00B52A08">
        <w:rPr>
          <w:rFonts w:ascii="Arial" w:hAnsi="Arial" w:cs="Arial"/>
          <w:color w:val="000000"/>
          <w:sz w:val="22"/>
          <w:szCs w:val="22"/>
        </w:rPr>
        <w:t>amendments</w:t>
      </w:r>
      <w:r w:rsidRPr="00B52A08">
        <w:rPr>
          <w:rFonts w:ascii="Arial" w:hAnsi="Arial" w:cs="Arial"/>
          <w:color w:val="000000"/>
          <w:sz w:val="22"/>
          <w:szCs w:val="22"/>
        </w:rPr>
        <w:t xml:space="preserve"> to the framework as it was initially proposed during the consultation, many of which reflect comments made by SFHA in our response.   This paper outlines what </w:t>
      </w:r>
      <w:r w:rsidR="00B52A08" w:rsidRPr="00B52A08">
        <w:rPr>
          <w:rFonts w:ascii="Arial" w:hAnsi="Arial" w:cs="Arial"/>
          <w:color w:val="000000"/>
          <w:sz w:val="22"/>
          <w:szCs w:val="22"/>
        </w:rPr>
        <w:t>changes have been made</w:t>
      </w:r>
      <w:r w:rsidRPr="00B52A08">
        <w:rPr>
          <w:rFonts w:ascii="Arial" w:hAnsi="Arial" w:cs="Arial"/>
          <w:color w:val="000000"/>
          <w:sz w:val="22"/>
          <w:szCs w:val="22"/>
        </w:rPr>
        <w:t xml:space="preserve">, </w:t>
      </w:r>
      <w:r w:rsidR="000941FD" w:rsidRPr="00B52A08">
        <w:rPr>
          <w:rFonts w:ascii="Arial" w:hAnsi="Arial" w:cs="Arial"/>
          <w:color w:val="000000"/>
          <w:sz w:val="22"/>
          <w:szCs w:val="22"/>
        </w:rPr>
        <w:t xml:space="preserve">elements that remain unchanged </w:t>
      </w:r>
      <w:r w:rsidRPr="00B52A08">
        <w:rPr>
          <w:rFonts w:ascii="Arial" w:hAnsi="Arial" w:cs="Arial"/>
          <w:color w:val="000000"/>
          <w:sz w:val="22"/>
          <w:szCs w:val="22"/>
        </w:rPr>
        <w:t>and next steps.</w:t>
      </w:r>
    </w:p>
    <w:p w14:paraId="2426C280" w14:textId="77777777" w:rsidR="003725CA" w:rsidRDefault="003725CA" w:rsidP="003416EA">
      <w:pPr>
        <w:pStyle w:val="MainText"/>
        <w:numPr>
          <w:ilvl w:val="0"/>
          <w:numId w:val="7"/>
        </w:numPr>
        <w:spacing w:beforeLines="80" w:before="192" w:afterLines="80" w:after="192" w:line="280" w:lineRule="atLeast"/>
        <w:rPr>
          <w:rFonts w:cs="Arial"/>
          <w:b/>
          <w:szCs w:val="22"/>
        </w:rPr>
      </w:pPr>
      <w:r>
        <w:rPr>
          <w:rFonts w:cs="Arial"/>
          <w:b/>
          <w:szCs w:val="22"/>
        </w:rPr>
        <w:t>Advisory Tool Kit</w:t>
      </w:r>
    </w:p>
    <w:p w14:paraId="0C812E03" w14:textId="3CD4841D" w:rsidR="00121DAB" w:rsidRPr="00121DAB" w:rsidRDefault="00121DAB" w:rsidP="003416EA">
      <w:pPr>
        <w:pStyle w:val="MainText"/>
        <w:spacing w:beforeLines="80" w:before="192" w:afterLines="80" w:after="192" w:line="280" w:lineRule="atLeast"/>
        <w:rPr>
          <w:rFonts w:cs="Arial"/>
          <w:szCs w:val="22"/>
        </w:rPr>
      </w:pPr>
      <w:r>
        <w:rPr>
          <w:rFonts w:cs="Arial"/>
          <w:szCs w:val="22"/>
        </w:rPr>
        <w:t>The SHR has committed to working with the SFHA and the sector in the production of an advisory tool kit, with the first key aspect of this looking at the production of assurance statements – and how the governing body can gain the level of assurance necessary to sign off the assurance statement.   SFHA is in discussions with the SHR about how this tool kit will be developed, and is keen to take a leading role.   SFHA will announce more details regarding this in April.</w:t>
      </w:r>
    </w:p>
    <w:p w14:paraId="52CEE8C7" w14:textId="77777777" w:rsidR="003725CA" w:rsidRDefault="008712FF" w:rsidP="003416EA">
      <w:pPr>
        <w:pStyle w:val="MainText"/>
        <w:numPr>
          <w:ilvl w:val="0"/>
          <w:numId w:val="7"/>
        </w:numPr>
        <w:spacing w:beforeLines="80" w:before="192" w:afterLines="80" w:after="192" w:line="280" w:lineRule="atLeast"/>
        <w:rPr>
          <w:rFonts w:cs="Arial"/>
          <w:b/>
          <w:szCs w:val="22"/>
        </w:rPr>
      </w:pPr>
      <w:r>
        <w:rPr>
          <w:rFonts w:cs="Arial"/>
          <w:b/>
          <w:szCs w:val="22"/>
        </w:rPr>
        <w:lastRenderedPageBreak/>
        <w:t>Equalities and Human Rights</w:t>
      </w:r>
    </w:p>
    <w:p w14:paraId="66C50344" w14:textId="77777777" w:rsidR="009D4A01" w:rsidRPr="009D4A01" w:rsidRDefault="003725CA" w:rsidP="003416EA">
      <w:pPr>
        <w:pStyle w:val="MainText"/>
        <w:spacing w:beforeLines="80" w:before="192" w:afterLines="80" w:after="192" w:line="280" w:lineRule="atLeast"/>
        <w:rPr>
          <w:rFonts w:cs="Arial"/>
          <w:color w:val="000000" w:themeColor="text1"/>
        </w:rPr>
      </w:pPr>
      <w:r w:rsidRPr="003725CA">
        <w:rPr>
          <w:rFonts w:cs="Arial"/>
          <w:szCs w:val="22"/>
        </w:rPr>
        <w:t xml:space="preserve">Within its response to the consultation, the SHR </w:t>
      </w:r>
      <w:r w:rsidR="00423747">
        <w:rPr>
          <w:rFonts w:cs="Arial"/>
          <w:szCs w:val="22"/>
        </w:rPr>
        <w:t xml:space="preserve">stated it </w:t>
      </w:r>
      <w:r w:rsidRPr="003725CA">
        <w:rPr>
          <w:rFonts w:cs="Arial"/>
          <w:color w:val="000000"/>
        </w:rPr>
        <w:t>will delay the assessment of compliance against new requirements on equalities and human rights until April 2021, providing further time to develop sector specific guidance</w:t>
      </w:r>
      <w:r>
        <w:rPr>
          <w:rFonts w:cs="Arial"/>
          <w:color w:val="000000"/>
        </w:rPr>
        <w:t xml:space="preserve">.  </w:t>
      </w:r>
      <w:r w:rsidR="00121DAB" w:rsidRPr="009D4A01">
        <w:rPr>
          <w:iCs/>
          <w:color w:val="000000" w:themeColor="text1"/>
        </w:rPr>
        <w:t>The SHR are not expecting landlords to begin data collection immediately from 1</w:t>
      </w:r>
      <w:r w:rsidR="00121DAB" w:rsidRPr="009D4A01">
        <w:rPr>
          <w:iCs/>
          <w:color w:val="000000" w:themeColor="text1"/>
          <w:vertAlign w:val="superscript"/>
        </w:rPr>
        <w:t>st</w:t>
      </w:r>
      <w:r w:rsidR="00121DAB" w:rsidRPr="009D4A01">
        <w:rPr>
          <w:iCs/>
          <w:color w:val="000000" w:themeColor="text1"/>
        </w:rPr>
        <w:t xml:space="preserve"> April </w:t>
      </w:r>
      <w:r w:rsidR="009D4A01" w:rsidRPr="009D4A01">
        <w:rPr>
          <w:iCs/>
          <w:color w:val="000000" w:themeColor="text1"/>
        </w:rPr>
        <w:t xml:space="preserve">in recognition that this guidance needs </w:t>
      </w:r>
      <w:r w:rsidR="00121DAB" w:rsidRPr="009D4A01">
        <w:rPr>
          <w:iCs/>
          <w:color w:val="000000" w:themeColor="text1"/>
        </w:rPr>
        <w:t>to be developed first. </w:t>
      </w:r>
    </w:p>
    <w:p w14:paraId="2F1B33E7" w14:textId="6DFB517E" w:rsidR="008E715C" w:rsidRDefault="009D4A01" w:rsidP="003416EA">
      <w:pPr>
        <w:rPr>
          <w:color w:val="000000" w:themeColor="text1"/>
        </w:rPr>
      </w:pPr>
      <w:r w:rsidRPr="00511CAE">
        <w:rPr>
          <w:color w:val="000000" w:themeColor="text1"/>
        </w:rPr>
        <w:t xml:space="preserve">SFHA will seek to clarify, as part of its input into the </w:t>
      </w:r>
      <w:r w:rsidR="003F7614">
        <w:rPr>
          <w:color w:val="000000" w:themeColor="text1"/>
        </w:rPr>
        <w:t xml:space="preserve">Advisory </w:t>
      </w:r>
      <w:r w:rsidRPr="00511CAE">
        <w:rPr>
          <w:color w:val="000000" w:themeColor="text1"/>
        </w:rPr>
        <w:t>Tool Kit,</w:t>
      </w:r>
      <w:r w:rsidR="00C16860" w:rsidRPr="00511CAE">
        <w:rPr>
          <w:color w:val="000000" w:themeColor="text1"/>
        </w:rPr>
        <w:t xml:space="preserve"> </w:t>
      </w:r>
      <w:r w:rsidR="0044619C" w:rsidRPr="00511CAE">
        <w:rPr>
          <w:color w:val="000000" w:themeColor="text1"/>
        </w:rPr>
        <w:t xml:space="preserve">what this means in terms of the </w:t>
      </w:r>
      <w:r w:rsidR="00423747" w:rsidRPr="00511CAE">
        <w:rPr>
          <w:color w:val="000000" w:themeColor="text1"/>
        </w:rPr>
        <w:t xml:space="preserve">first </w:t>
      </w:r>
      <w:r w:rsidR="0044619C" w:rsidRPr="00511CAE">
        <w:rPr>
          <w:color w:val="000000" w:themeColor="text1"/>
        </w:rPr>
        <w:t>Assurance Statement</w:t>
      </w:r>
      <w:r w:rsidR="00423747" w:rsidRPr="00511CAE">
        <w:rPr>
          <w:color w:val="000000" w:themeColor="text1"/>
        </w:rPr>
        <w:t>s</w:t>
      </w:r>
      <w:r w:rsidR="0044619C" w:rsidRPr="00511CAE">
        <w:rPr>
          <w:color w:val="000000" w:themeColor="text1"/>
        </w:rPr>
        <w:t xml:space="preserve"> and what organisations should </w:t>
      </w:r>
      <w:r w:rsidR="00423747" w:rsidRPr="00511CAE">
        <w:rPr>
          <w:color w:val="000000" w:themeColor="text1"/>
        </w:rPr>
        <w:t>state</w:t>
      </w:r>
      <w:r w:rsidR="0044619C" w:rsidRPr="00511CAE">
        <w:rPr>
          <w:color w:val="000000" w:themeColor="text1"/>
        </w:rPr>
        <w:t xml:space="preserve"> in regards to this requirement in the meantime</w:t>
      </w:r>
      <w:r w:rsidR="00C16860" w:rsidRPr="00511CAE">
        <w:rPr>
          <w:color w:val="000000" w:themeColor="text1"/>
        </w:rPr>
        <w:t xml:space="preserve">.   </w:t>
      </w:r>
    </w:p>
    <w:p w14:paraId="41A2E37C" w14:textId="77777777" w:rsidR="00511CAE" w:rsidRPr="00511CAE" w:rsidRDefault="00511CAE" w:rsidP="003416EA">
      <w:pPr>
        <w:rPr>
          <w:color w:val="000000" w:themeColor="text1"/>
        </w:rPr>
      </w:pPr>
    </w:p>
    <w:p w14:paraId="20FDD93A" w14:textId="77777777" w:rsidR="00B52A08" w:rsidRDefault="00B52A08" w:rsidP="003416EA">
      <w:pPr>
        <w:pStyle w:val="MainText"/>
        <w:numPr>
          <w:ilvl w:val="0"/>
          <w:numId w:val="7"/>
        </w:numPr>
        <w:spacing w:beforeLines="80" w:before="192" w:afterLines="80" w:after="192" w:line="280" w:lineRule="atLeast"/>
        <w:rPr>
          <w:rFonts w:cs="Arial"/>
          <w:b/>
          <w:szCs w:val="22"/>
        </w:rPr>
      </w:pPr>
      <w:r>
        <w:rPr>
          <w:rFonts w:cs="Arial"/>
          <w:b/>
          <w:szCs w:val="22"/>
        </w:rPr>
        <w:t>Regulatory Standards</w:t>
      </w:r>
    </w:p>
    <w:p w14:paraId="57AF0C14" w14:textId="77777777" w:rsidR="00281C5C" w:rsidRDefault="0008757F" w:rsidP="003416EA">
      <w:pPr>
        <w:pStyle w:val="MainText"/>
        <w:spacing w:beforeLines="80" w:before="192" w:afterLines="80" w:after="192" w:line="280" w:lineRule="atLeast"/>
        <w:rPr>
          <w:rFonts w:cs="Arial"/>
          <w:szCs w:val="22"/>
        </w:rPr>
      </w:pPr>
      <w:r>
        <w:rPr>
          <w:rFonts w:cs="Arial"/>
          <w:szCs w:val="22"/>
        </w:rPr>
        <w:t>From the consultation period, a number of amendments have been made to the standards as proposed</w:t>
      </w:r>
      <w:r w:rsidR="00CB0E5E">
        <w:rPr>
          <w:rFonts w:cs="Arial"/>
          <w:szCs w:val="22"/>
        </w:rPr>
        <w:t xml:space="preserve"> during the consultation period</w:t>
      </w:r>
      <w:r>
        <w:rPr>
          <w:rFonts w:cs="Arial"/>
          <w:szCs w:val="22"/>
        </w:rPr>
        <w:t>.   These are outlined below</w:t>
      </w:r>
      <w:r w:rsidR="00281C5C">
        <w:rPr>
          <w:rFonts w:cs="Arial"/>
          <w:szCs w:val="22"/>
        </w:rPr>
        <w:t>:</w:t>
      </w:r>
    </w:p>
    <w:p w14:paraId="44285BA0" w14:textId="3D328F45" w:rsidR="00CB0E5E" w:rsidRPr="00FB3EB6" w:rsidRDefault="00CB0E5E" w:rsidP="003416EA">
      <w:pPr>
        <w:pStyle w:val="MainText"/>
        <w:numPr>
          <w:ilvl w:val="0"/>
          <w:numId w:val="33"/>
        </w:numPr>
        <w:spacing w:beforeLines="80" w:before="192" w:afterLines="80" w:after="192" w:line="280" w:lineRule="atLeast"/>
        <w:rPr>
          <w:b/>
        </w:rPr>
      </w:pPr>
      <w:r w:rsidRPr="00FB3EB6">
        <w:rPr>
          <w:b/>
        </w:rPr>
        <w:t xml:space="preserve">Standard 1.1 </w:t>
      </w:r>
    </w:p>
    <w:p w14:paraId="1E93138A" w14:textId="77A305F4" w:rsidR="007227AF" w:rsidRPr="00CB0E5E" w:rsidRDefault="007227AF" w:rsidP="003416EA">
      <w:pPr>
        <w:pStyle w:val="MainText"/>
        <w:spacing w:beforeLines="80" w:before="192" w:afterLines="80" w:after="192" w:line="280" w:lineRule="atLeast"/>
        <w:ind w:left="360"/>
        <w:rPr>
          <w:rFonts w:cs="Arial"/>
          <w:i/>
          <w:szCs w:val="22"/>
        </w:rPr>
      </w:pPr>
      <w:r w:rsidRPr="00CB0E5E">
        <w:rPr>
          <w:i/>
        </w:rPr>
        <w:t>The governing body sets the RSL’s strategic direction. It agrees and oversees the organisation’s business plan to achieve its purpose and intended outcomes for its tenants and other service users</w:t>
      </w:r>
      <w:r w:rsidRPr="00CB0E5E">
        <w:rPr>
          <w:i/>
          <w:dstrike/>
        </w:rPr>
        <w:t>, having had regard to our advisory guidance on business planning</w:t>
      </w:r>
      <w:r w:rsidRPr="00CB0E5E">
        <w:rPr>
          <w:i/>
        </w:rPr>
        <w:t>.</w:t>
      </w:r>
    </w:p>
    <w:p w14:paraId="30BD9CBB" w14:textId="40A15E7B" w:rsidR="007227AF" w:rsidRDefault="00CB0E5E" w:rsidP="003416EA">
      <w:pPr>
        <w:pStyle w:val="MainText"/>
        <w:spacing w:beforeLines="80" w:before="192" w:afterLines="80" w:after="192" w:line="280" w:lineRule="atLeast"/>
        <w:ind w:left="360"/>
        <w:rPr>
          <w:rFonts w:cs="Arial"/>
          <w:szCs w:val="22"/>
        </w:rPr>
      </w:pPr>
      <w:r>
        <w:rPr>
          <w:rFonts w:cs="Arial"/>
          <w:szCs w:val="22"/>
        </w:rPr>
        <w:t>This removes the reference to the SHR’s advisory guidance on business planning, which SFHA asked for in its consultation response.  This inclusion would have given the business planning guidance statutory status.</w:t>
      </w:r>
    </w:p>
    <w:p w14:paraId="09B26B3B" w14:textId="3720DCCE" w:rsidR="00CB0E5E" w:rsidRPr="00FB3EB6" w:rsidRDefault="00CB0E5E" w:rsidP="003416EA">
      <w:pPr>
        <w:pStyle w:val="MainText"/>
        <w:numPr>
          <w:ilvl w:val="0"/>
          <w:numId w:val="32"/>
        </w:numPr>
        <w:spacing w:beforeLines="80" w:before="192" w:afterLines="80" w:after="192" w:line="280" w:lineRule="atLeast"/>
        <w:rPr>
          <w:rFonts w:cs="Arial"/>
          <w:b/>
          <w:szCs w:val="22"/>
        </w:rPr>
      </w:pPr>
      <w:r w:rsidRPr="00FB3EB6">
        <w:rPr>
          <w:rFonts w:cs="Arial"/>
          <w:b/>
          <w:szCs w:val="22"/>
        </w:rPr>
        <w:t>Standard 1.5</w:t>
      </w:r>
    </w:p>
    <w:p w14:paraId="02C3922C" w14:textId="7E3F0E05" w:rsidR="00CB0E5E" w:rsidRPr="00CB0E5E" w:rsidRDefault="00CB0E5E" w:rsidP="003416EA">
      <w:pPr>
        <w:pStyle w:val="MainText"/>
        <w:spacing w:beforeLines="80" w:before="192" w:afterLines="80" w:after="192" w:line="280" w:lineRule="atLeast"/>
        <w:ind w:left="360"/>
        <w:rPr>
          <w:i/>
        </w:rPr>
      </w:pPr>
      <w:r w:rsidRPr="00CB0E5E">
        <w:rPr>
          <w:i/>
        </w:rPr>
        <w:t xml:space="preserve">All governing body members and senior officers understand their respective roles, and working relationships are constructive, </w:t>
      </w:r>
      <w:r w:rsidRPr="00CB0E5E">
        <w:rPr>
          <w:i/>
          <w:dstrike/>
        </w:rPr>
        <w:t>appropriate</w:t>
      </w:r>
      <w:r w:rsidRPr="00CB0E5E">
        <w:rPr>
          <w:i/>
        </w:rPr>
        <w:t xml:space="preserve"> </w:t>
      </w:r>
      <w:r w:rsidRPr="00CB0E5E">
        <w:rPr>
          <w:i/>
          <w:color w:val="FF0000"/>
        </w:rPr>
        <w:t>professional</w:t>
      </w:r>
      <w:r w:rsidRPr="00CB0E5E">
        <w:rPr>
          <w:i/>
        </w:rPr>
        <w:t xml:space="preserve"> and effective</w:t>
      </w:r>
    </w:p>
    <w:p w14:paraId="5409C370" w14:textId="47EB13D7" w:rsidR="00CB0E5E" w:rsidRDefault="00CB0E5E" w:rsidP="003416EA">
      <w:pPr>
        <w:pStyle w:val="MainText"/>
        <w:spacing w:beforeLines="80" w:before="192" w:afterLines="80" w:after="192" w:line="280" w:lineRule="atLeast"/>
        <w:ind w:left="360"/>
        <w:rPr>
          <w:rFonts w:cs="Arial"/>
          <w:szCs w:val="22"/>
        </w:rPr>
      </w:pPr>
      <w:r>
        <w:rPr>
          <w:rFonts w:cs="Arial"/>
          <w:szCs w:val="22"/>
        </w:rPr>
        <w:t>This takes on board a suggestion in the SFHA response to the consultation, as the word “appropriate” was rather subjective.</w:t>
      </w:r>
    </w:p>
    <w:p w14:paraId="70945FAC" w14:textId="77777777" w:rsidR="00FB3EB6" w:rsidRPr="00FB3EB6" w:rsidRDefault="00FB3EB6" w:rsidP="003416EA">
      <w:pPr>
        <w:pStyle w:val="MainText"/>
        <w:numPr>
          <w:ilvl w:val="0"/>
          <w:numId w:val="32"/>
        </w:numPr>
        <w:spacing w:beforeLines="80" w:before="192" w:afterLines="80" w:after="192" w:line="280" w:lineRule="atLeast"/>
        <w:rPr>
          <w:rFonts w:cs="Arial"/>
          <w:b/>
          <w:i/>
          <w:szCs w:val="22"/>
        </w:rPr>
      </w:pPr>
      <w:r w:rsidRPr="00FB3EB6">
        <w:rPr>
          <w:b/>
        </w:rPr>
        <w:t>Standard 3.4</w:t>
      </w:r>
    </w:p>
    <w:p w14:paraId="206503E3" w14:textId="2A97CCED" w:rsidR="00CB0E5E" w:rsidRDefault="00FB3EB6" w:rsidP="003416EA">
      <w:pPr>
        <w:pStyle w:val="MainText"/>
        <w:spacing w:beforeLines="80" w:before="192" w:afterLines="80" w:after="192" w:line="280" w:lineRule="atLeast"/>
        <w:ind w:left="360"/>
        <w:rPr>
          <w:i/>
        </w:rPr>
      </w:pPr>
      <w:r w:rsidRPr="00FB3EB6">
        <w:rPr>
          <w:i/>
        </w:rPr>
        <w:t xml:space="preserve">The governing body ensures financial forecasts are based on appropriate and reasonable assumptions and information, including information about what tenants can afford to pay </w:t>
      </w:r>
      <w:r w:rsidRPr="00FB3EB6">
        <w:rPr>
          <w:i/>
          <w:color w:val="FF0000"/>
        </w:rPr>
        <w:t>and feedback from consultation with tenants on rent increases</w:t>
      </w:r>
      <w:r w:rsidRPr="00FB3EB6">
        <w:rPr>
          <w:i/>
        </w:rPr>
        <w:t>.</w:t>
      </w:r>
    </w:p>
    <w:p w14:paraId="2975744F" w14:textId="24DA5108" w:rsidR="00281C5C" w:rsidRPr="00281C5C" w:rsidRDefault="00281C5C" w:rsidP="003416EA">
      <w:pPr>
        <w:pStyle w:val="MainText"/>
        <w:numPr>
          <w:ilvl w:val="0"/>
          <w:numId w:val="32"/>
        </w:numPr>
        <w:spacing w:beforeLines="80" w:before="192" w:afterLines="80" w:after="192" w:line="280" w:lineRule="atLeast"/>
        <w:rPr>
          <w:b/>
        </w:rPr>
      </w:pPr>
      <w:r w:rsidRPr="00281C5C">
        <w:rPr>
          <w:b/>
        </w:rPr>
        <w:t>Standard 3.</w:t>
      </w:r>
      <w:r w:rsidR="00FF2BD8">
        <w:rPr>
          <w:b/>
        </w:rPr>
        <w:t>6</w:t>
      </w:r>
    </w:p>
    <w:p w14:paraId="1C9D6F00" w14:textId="66635A0C" w:rsidR="00FB3EB6" w:rsidRPr="00FF2BD8" w:rsidRDefault="00FB3EB6" w:rsidP="003416EA">
      <w:pPr>
        <w:pStyle w:val="MainText"/>
        <w:spacing w:beforeLines="80" w:before="192" w:afterLines="80" w:after="192" w:line="280" w:lineRule="atLeast"/>
        <w:ind w:left="360"/>
        <w:rPr>
          <w:i/>
        </w:rPr>
      </w:pPr>
      <w:r w:rsidRPr="00FF2BD8">
        <w:rPr>
          <w:i/>
        </w:rPr>
        <w:t xml:space="preserve">The governing body </w:t>
      </w:r>
      <w:r w:rsidRPr="00FF2BD8">
        <w:rPr>
          <w:i/>
          <w:color w:val="FF0000"/>
        </w:rPr>
        <w:t xml:space="preserve">ensures that </w:t>
      </w:r>
      <w:r w:rsidRPr="00FF2BD8">
        <w:rPr>
          <w:i/>
          <w:dstrike/>
        </w:rPr>
        <w:t>sets</w:t>
      </w:r>
      <w:r w:rsidRPr="00FF2BD8">
        <w:rPr>
          <w:i/>
        </w:rPr>
        <w:t xml:space="preserve"> employee salaries, benefits and its pension offerings </w:t>
      </w:r>
      <w:r w:rsidRPr="00FF2BD8">
        <w:rPr>
          <w:i/>
          <w:color w:val="FF0000"/>
        </w:rPr>
        <w:t>are</w:t>
      </w:r>
      <w:r w:rsidRPr="00FF2BD8">
        <w:rPr>
          <w:i/>
        </w:rPr>
        <w:t xml:space="preserve"> at a level </w:t>
      </w:r>
      <w:r w:rsidRPr="00FF2BD8">
        <w:rPr>
          <w:i/>
          <w:color w:val="FF0000"/>
        </w:rPr>
        <w:t xml:space="preserve">that is </w:t>
      </w:r>
      <w:r w:rsidRPr="00FF2BD8">
        <w:rPr>
          <w:i/>
          <w:dstrike/>
        </w:rPr>
        <w:t>to be</w:t>
      </w:r>
      <w:r w:rsidRPr="00FF2BD8">
        <w:rPr>
          <w:i/>
        </w:rPr>
        <w:t xml:space="preserve"> sufficient to ensure the appropriate quality of staff to run the organisation successfully, but which is affordable and not more than is necessary for this purpose.</w:t>
      </w:r>
    </w:p>
    <w:p w14:paraId="5331C775" w14:textId="77777777" w:rsidR="00B93155" w:rsidRDefault="00B93155" w:rsidP="003416EA">
      <w:pPr>
        <w:pStyle w:val="MainText"/>
        <w:spacing w:beforeLines="80" w:before="192" w:afterLines="80" w:after="192" w:line="280" w:lineRule="atLeast"/>
        <w:ind w:left="360"/>
      </w:pPr>
    </w:p>
    <w:p w14:paraId="05BDB778" w14:textId="77777777" w:rsidR="00B93155" w:rsidRDefault="00B93155" w:rsidP="003416EA">
      <w:pPr>
        <w:pStyle w:val="MainText"/>
        <w:spacing w:beforeLines="80" w:before="192" w:afterLines="80" w:after="192" w:line="280" w:lineRule="atLeast"/>
        <w:ind w:left="360"/>
      </w:pPr>
    </w:p>
    <w:p w14:paraId="76AE873F" w14:textId="5A34213A" w:rsidR="007B4EC7" w:rsidRPr="00B93155" w:rsidRDefault="00FF2BD8" w:rsidP="003416EA">
      <w:pPr>
        <w:pStyle w:val="MainText"/>
        <w:spacing w:beforeLines="80" w:before="192" w:afterLines="80" w:after="192" w:line="280" w:lineRule="atLeast"/>
        <w:ind w:left="360"/>
        <w:rPr>
          <w:rFonts w:cs="Arial"/>
        </w:rPr>
      </w:pPr>
      <w:r>
        <w:lastRenderedPageBreak/>
        <w:t xml:space="preserve">SFHA made comment that </w:t>
      </w:r>
      <w:r w:rsidRPr="00FF2BD8">
        <w:rPr>
          <w:rFonts w:cs="Arial"/>
        </w:rPr>
        <w:t>in large organisations who have considerable numbers of staff, it might not be practical for the GB to directly set employee remuneration for every single employee.</w:t>
      </w:r>
      <w:r>
        <w:rPr>
          <w:rFonts w:cs="Arial"/>
        </w:rPr>
        <w:t xml:space="preserve">  This slight tweak acknowledges this comment</w:t>
      </w:r>
      <w:r w:rsidR="007B4EC7">
        <w:rPr>
          <w:rFonts w:cs="Arial"/>
        </w:rPr>
        <w:t>.</w:t>
      </w:r>
    </w:p>
    <w:p w14:paraId="63EDADF1" w14:textId="3141173B" w:rsidR="00281C5C" w:rsidRDefault="00281C5C" w:rsidP="003416EA">
      <w:pPr>
        <w:pStyle w:val="MainText"/>
        <w:numPr>
          <w:ilvl w:val="0"/>
          <w:numId w:val="32"/>
        </w:numPr>
        <w:spacing w:beforeLines="80" w:before="192" w:afterLines="80" w:after="192" w:line="280" w:lineRule="atLeast"/>
        <w:rPr>
          <w:rFonts w:cs="Arial"/>
          <w:b/>
          <w:szCs w:val="22"/>
        </w:rPr>
      </w:pPr>
      <w:r w:rsidRPr="00281C5C">
        <w:rPr>
          <w:rFonts w:cs="Arial"/>
          <w:b/>
          <w:szCs w:val="22"/>
        </w:rPr>
        <w:t>Standard 5.7</w:t>
      </w:r>
    </w:p>
    <w:p w14:paraId="101AAAA6" w14:textId="20878502" w:rsidR="00281C5C" w:rsidRPr="00B93155" w:rsidRDefault="00281C5C" w:rsidP="003416EA">
      <w:pPr>
        <w:pStyle w:val="MainText"/>
        <w:spacing w:beforeLines="80" w:before="192" w:afterLines="80" w:after="192" w:line="280" w:lineRule="atLeast"/>
        <w:ind w:left="360"/>
        <w:rPr>
          <w:i/>
        </w:rPr>
      </w:pPr>
      <w:r w:rsidRPr="00B93155">
        <w:rPr>
          <w:i/>
        </w:rPr>
        <w:t xml:space="preserve">Severance payments are only made in accordance with a clear policy which </w:t>
      </w:r>
      <w:r w:rsidRPr="00B93155">
        <w:rPr>
          <w:i/>
          <w:color w:val="FF0000"/>
        </w:rPr>
        <w:t>is approved by the governing body</w:t>
      </w:r>
      <w:r w:rsidRPr="00B93155">
        <w:rPr>
          <w:i/>
        </w:rPr>
        <w:t xml:space="preserve">, is consistently applied and </w:t>
      </w:r>
      <w:r w:rsidRPr="00B93155">
        <w:rPr>
          <w:i/>
          <w:color w:val="FF0000"/>
        </w:rPr>
        <w:t>is</w:t>
      </w:r>
      <w:r w:rsidRPr="00B93155">
        <w:rPr>
          <w:i/>
        </w:rPr>
        <w:t xml:space="preserve"> in accordance with contractual obligations. Such payments are </w:t>
      </w:r>
      <w:r w:rsidRPr="00B93155">
        <w:rPr>
          <w:i/>
          <w:color w:val="FF0000"/>
        </w:rPr>
        <w:t xml:space="preserve">monitored </w:t>
      </w:r>
      <w:r w:rsidRPr="00B93155">
        <w:rPr>
          <w:i/>
          <w:dstrike/>
        </w:rPr>
        <w:t>approved</w:t>
      </w:r>
      <w:r w:rsidRPr="00B93155">
        <w:rPr>
          <w:i/>
        </w:rPr>
        <w:t xml:space="preserve"> by the governing body </w:t>
      </w:r>
      <w:r w:rsidRPr="00B93155">
        <w:rPr>
          <w:i/>
          <w:color w:val="FF0000"/>
        </w:rPr>
        <w:t>to ensure</w:t>
      </w:r>
      <w:r w:rsidRPr="00B93155">
        <w:rPr>
          <w:i/>
          <w:dstrike/>
          <w:color w:val="FF0000"/>
        </w:rPr>
        <w:t xml:space="preserve"> </w:t>
      </w:r>
      <w:r w:rsidRPr="00B93155">
        <w:rPr>
          <w:i/>
          <w:dstrike/>
        </w:rPr>
        <w:t xml:space="preserve">after it has satisfied itself </w:t>
      </w:r>
      <w:r w:rsidRPr="00B93155">
        <w:rPr>
          <w:i/>
        </w:rPr>
        <w:t>that the payment represents value for money. Alternatives to severance must be considered including redeployment.</w:t>
      </w:r>
    </w:p>
    <w:p w14:paraId="4A2ABD50" w14:textId="77777777" w:rsidR="007B4EC7" w:rsidRPr="007B4EC7" w:rsidRDefault="007B4EC7" w:rsidP="003416EA">
      <w:pPr>
        <w:pStyle w:val="MainText"/>
        <w:numPr>
          <w:ilvl w:val="0"/>
          <w:numId w:val="32"/>
        </w:numPr>
        <w:spacing w:beforeLines="80" w:before="192" w:afterLines="80" w:after="192" w:line="280" w:lineRule="atLeast"/>
        <w:rPr>
          <w:rFonts w:cs="Arial"/>
          <w:b/>
          <w:szCs w:val="22"/>
        </w:rPr>
      </w:pPr>
      <w:r w:rsidRPr="007B4EC7">
        <w:rPr>
          <w:b/>
        </w:rPr>
        <w:t>Standard 6.1</w:t>
      </w:r>
    </w:p>
    <w:p w14:paraId="0A0660CA" w14:textId="71FB46CD" w:rsidR="007B4EC7" w:rsidRDefault="007B4EC7" w:rsidP="003416EA">
      <w:pPr>
        <w:pStyle w:val="MainText"/>
        <w:spacing w:beforeLines="80" w:before="192" w:afterLines="80" w:after="192" w:line="280" w:lineRule="atLeast"/>
        <w:ind w:left="360"/>
        <w:rPr>
          <w:i/>
        </w:rPr>
      </w:pPr>
      <w:r w:rsidRPr="007B4EC7">
        <w:rPr>
          <w:i/>
        </w:rPr>
        <w:t xml:space="preserve">The RSL has a formal, rigorous and transparent process for the election, appointment and recruitment of governing body members. The RSL formally and actively plans to ensure orderly succession to governing body places to maintain an appropriate and effective composition of governing body members and to ensure </w:t>
      </w:r>
      <w:r w:rsidRPr="006F534E">
        <w:rPr>
          <w:i/>
          <w:dstrike/>
        </w:rPr>
        <w:t>progressive refreshing and</w:t>
      </w:r>
      <w:r w:rsidRPr="007B4EC7">
        <w:rPr>
          <w:i/>
        </w:rPr>
        <w:t xml:space="preserve"> sustainability of the governing body.</w:t>
      </w:r>
    </w:p>
    <w:p w14:paraId="4FD81584" w14:textId="7186D285" w:rsidR="006F534E" w:rsidRPr="006F534E" w:rsidRDefault="006F534E" w:rsidP="003416EA">
      <w:pPr>
        <w:pStyle w:val="MainText"/>
        <w:spacing w:beforeLines="80" w:before="192" w:afterLines="80" w:after="192" w:line="280" w:lineRule="atLeast"/>
        <w:ind w:left="360"/>
      </w:pPr>
      <w:r>
        <w:t>This change is in line with SFHA’s response to the consultation.  “</w:t>
      </w:r>
      <w:r w:rsidRPr="006F534E">
        <w:rPr>
          <w:i/>
        </w:rPr>
        <w:t>Progressive refreshing</w:t>
      </w:r>
      <w:r>
        <w:t>” did not acknowledge the contribution of long serving governing body members and we had requested this phrase be removed.</w:t>
      </w:r>
    </w:p>
    <w:p w14:paraId="5E1A6616" w14:textId="77777777" w:rsidR="007B4EC7" w:rsidRPr="007B4EC7" w:rsidRDefault="007B4EC7" w:rsidP="003416EA">
      <w:pPr>
        <w:pStyle w:val="MainText"/>
        <w:numPr>
          <w:ilvl w:val="0"/>
          <w:numId w:val="32"/>
        </w:numPr>
        <w:spacing w:beforeLines="80" w:before="192" w:afterLines="80" w:after="192" w:line="280" w:lineRule="atLeast"/>
        <w:rPr>
          <w:rFonts w:cs="Arial"/>
          <w:b/>
          <w:i/>
          <w:szCs w:val="22"/>
        </w:rPr>
      </w:pPr>
      <w:r w:rsidRPr="007B4EC7">
        <w:rPr>
          <w:b/>
        </w:rPr>
        <w:t>Standard 6.3</w:t>
      </w:r>
    </w:p>
    <w:p w14:paraId="716C376E" w14:textId="13EF9192" w:rsidR="007B4EC7" w:rsidRDefault="007B4EC7" w:rsidP="003416EA">
      <w:pPr>
        <w:pStyle w:val="MainText"/>
        <w:spacing w:beforeLines="80" w:before="192" w:afterLines="80" w:after="192" w:line="280" w:lineRule="atLeast"/>
        <w:ind w:left="360"/>
        <w:rPr>
          <w:i/>
        </w:rPr>
      </w:pPr>
      <w:r w:rsidRPr="007B4EC7">
        <w:rPr>
          <w:i/>
        </w:rPr>
        <w:t xml:space="preserve">The RSL ensures that all governing body members are subject to annual performance reviews to assess their contribution and effectiveness. The governing body takes account of these annual performance reviews and its skills needs in its succession planning and learning and development plans. The governing body </w:t>
      </w:r>
      <w:r w:rsidRPr="008A6C2A">
        <w:rPr>
          <w:i/>
          <w:color w:val="FF0000"/>
        </w:rPr>
        <w:t>ensures</w:t>
      </w:r>
      <w:r w:rsidRPr="007B4EC7">
        <w:rPr>
          <w:i/>
        </w:rPr>
        <w:t xml:space="preserve"> </w:t>
      </w:r>
      <w:r w:rsidRPr="00E06D6F">
        <w:rPr>
          <w:i/>
          <w:dstrike/>
        </w:rPr>
        <w:t xml:space="preserve">is able to assure </w:t>
      </w:r>
      <w:r w:rsidRPr="007B4EC7">
        <w:rPr>
          <w:i/>
        </w:rPr>
        <w:t xml:space="preserve">that any non-executive member seeking re-election after nine years’ continuous service </w:t>
      </w:r>
      <w:r w:rsidRPr="00E06D6F">
        <w:rPr>
          <w:i/>
          <w:dstrike/>
        </w:rPr>
        <w:t>can</w:t>
      </w:r>
      <w:r w:rsidRPr="007B4EC7">
        <w:rPr>
          <w:i/>
        </w:rPr>
        <w:t xml:space="preserve"> demonstrates </w:t>
      </w:r>
      <w:r w:rsidRPr="00E06D6F">
        <w:rPr>
          <w:i/>
          <w:dstrike/>
        </w:rPr>
        <w:t>their</w:t>
      </w:r>
      <w:r w:rsidRPr="007B4EC7">
        <w:rPr>
          <w:i/>
        </w:rPr>
        <w:t xml:space="preserve"> continued effectiveness</w:t>
      </w:r>
    </w:p>
    <w:p w14:paraId="68B037C6" w14:textId="3178EEEA" w:rsidR="007B4EC7" w:rsidRDefault="006F534E" w:rsidP="003416EA">
      <w:pPr>
        <w:pStyle w:val="MainText"/>
        <w:numPr>
          <w:ilvl w:val="0"/>
          <w:numId w:val="32"/>
        </w:numPr>
        <w:spacing w:beforeLines="80" w:before="192" w:afterLines="80" w:after="192" w:line="280" w:lineRule="atLeast"/>
        <w:rPr>
          <w:rFonts w:cs="Arial"/>
          <w:b/>
          <w:i/>
          <w:szCs w:val="22"/>
        </w:rPr>
      </w:pPr>
      <w:r>
        <w:rPr>
          <w:rFonts w:cs="Arial"/>
          <w:b/>
          <w:i/>
          <w:szCs w:val="22"/>
        </w:rPr>
        <w:t>Standard 7.4</w:t>
      </w:r>
    </w:p>
    <w:p w14:paraId="07725BC1" w14:textId="40F47A4E" w:rsidR="006F534E" w:rsidRPr="00B93155" w:rsidRDefault="006F534E" w:rsidP="003416EA">
      <w:pPr>
        <w:pStyle w:val="MainText"/>
        <w:spacing w:beforeLines="80" w:before="192" w:afterLines="80" w:after="192" w:line="280" w:lineRule="atLeast"/>
        <w:ind w:left="360"/>
        <w:rPr>
          <w:i/>
        </w:rPr>
      </w:pPr>
      <w:r w:rsidRPr="00B93155">
        <w:rPr>
          <w:i/>
        </w:rPr>
        <w:t xml:space="preserve">The governing body </w:t>
      </w:r>
      <w:r w:rsidRPr="00B93155">
        <w:rPr>
          <w:i/>
          <w:color w:val="FF0000"/>
        </w:rPr>
        <w:t xml:space="preserve">is satisfied </w:t>
      </w:r>
      <w:r w:rsidRPr="00B93155">
        <w:rPr>
          <w:i/>
          <w:dstrike/>
        </w:rPr>
        <w:t xml:space="preserve">ensures </w:t>
      </w:r>
      <w:r w:rsidRPr="00B93155">
        <w:rPr>
          <w:i/>
        </w:rPr>
        <w:t xml:space="preserve">that the new (or changed) organisation </w:t>
      </w:r>
      <w:r w:rsidRPr="00B93155">
        <w:rPr>
          <w:i/>
          <w:color w:val="FF0000"/>
        </w:rPr>
        <w:t xml:space="preserve">will be </w:t>
      </w:r>
      <w:r w:rsidRPr="00B93155">
        <w:rPr>
          <w:i/>
          <w:dstrike/>
        </w:rPr>
        <w:t xml:space="preserve">is </w:t>
      </w:r>
      <w:r w:rsidRPr="00B93155">
        <w:rPr>
          <w:i/>
        </w:rPr>
        <w:t xml:space="preserve">financially viable, efficient and </w:t>
      </w:r>
      <w:r w:rsidRPr="00B93155">
        <w:rPr>
          <w:i/>
          <w:color w:val="FF0000"/>
        </w:rPr>
        <w:t>will</w:t>
      </w:r>
      <w:r w:rsidRPr="00B93155">
        <w:rPr>
          <w:i/>
        </w:rPr>
        <w:t xml:space="preserve"> provides good outcomes for tenants</w:t>
      </w:r>
    </w:p>
    <w:p w14:paraId="64AD935D" w14:textId="77777777" w:rsidR="006F534E" w:rsidRPr="006F534E" w:rsidRDefault="006F534E" w:rsidP="003416EA">
      <w:pPr>
        <w:pStyle w:val="MainText"/>
        <w:numPr>
          <w:ilvl w:val="0"/>
          <w:numId w:val="32"/>
        </w:numPr>
        <w:spacing w:beforeLines="80" w:before="192" w:afterLines="80" w:after="192" w:line="280" w:lineRule="atLeast"/>
        <w:rPr>
          <w:rFonts w:cs="Arial"/>
          <w:b/>
          <w:i/>
          <w:szCs w:val="22"/>
        </w:rPr>
      </w:pPr>
      <w:r w:rsidRPr="006F534E">
        <w:rPr>
          <w:b/>
        </w:rPr>
        <w:t>Standard 7.5</w:t>
      </w:r>
    </w:p>
    <w:p w14:paraId="7E04D0B5" w14:textId="591A6550" w:rsidR="006F534E" w:rsidRPr="006F534E" w:rsidRDefault="006F534E" w:rsidP="003416EA">
      <w:pPr>
        <w:pStyle w:val="MainText"/>
        <w:spacing w:beforeLines="80" w:before="192" w:afterLines="80" w:after="192" w:line="280" w:lineRule="atLeast"/>
        <w:ind w:left="360"/>
        <w:rPr>
          <w:rFonts w:cs="Arial"/>
          <w:b/>
          <w:i/>
          <w:szCs w:val="22"/>
        </w:rPr>
      </w:pPr>
      <w:r w:rsidRPr="006F534E">
        <w:rPr>
          <w:i/>
        </w:rPr>
        <w:t xml:space="preserve">The RSL establishes robust monitoring systems to ensure that delivery </w:t>
      </w:r>
      <w:r w:rsidRPr="00511BDF">
        <w:rPr>
          <w:i/>
          <w:color w:val="FF0000"/>
        </w:rPr>
        <w:t>of the objective of the change and of commitments made to tenants</w:t>
      </w:r>
      <w:r w:rsidRPr="006F534E">
        <w:rPr>
          <w:i/>
        </w:rPr>
        <w:t xml:space="preserve"> </w:t>
      </w:r>
      <w:r w:rsidRPr="00511BDF">
        <w:rPr>
          <w:i/>
          <w:dstrike/>
        </w:rPr>
        <w:t>after the proposal takes effect</w:t>
      </w:r>
      <w:r w:rsidRPr="006F534E">
        <w:rPr>
          <w:i/>
        </w:rPr>
        <w:t xml:space="preserve"> </w:t>
      </w:r>
      <w:r w:rsidRPr="00511BDF">
        <w:rPr>
          <w:i/>
          <w:color w:val="FF0000"/>
        </w:rPr>
        <w:t>are</w:t>
      </w:r>
      <w:r w:rsidRPr="006F534E">
        <w:rPr>
          <w:i/>
        </w:rPr>
        <w:t xml:space="preserve"> </w:t>
      </w:r>
      <w:r w:rsidRPr="00511BDF">
        <w:rPr>
          <w:i/>
          <w:dstrike/>
        </w:rPr>
        <w:t>is</w:t>
      </w:r>
      <w:r w:rsidRPr="006F534E">
        <w:rPr>
          <w:i/>
        </w:rPr>
        <w:t xml:space="preserve"> achieved (for example in relation to service standards, operating costs and investment levels).</w:t>
      </w:r>
    </w:p>
    <w:p w14:paraId="1B424F5B" w14:textId="71F97EC1" w:rsidR="00663852" w:rsidRPr="000A4298" w:rsidRDefault="00663852" w:rsidP="003416EA">
      <w:pPr>
        <w:pStyle w:val="MainText"/>
        <w:numPr>
          <w:ilvl w:val="0"/>
          <w:numId w:val="7"/>
        </w:numPr>
        <w:spacing w:beforeLines="80" w:before="192" w:afterLines="80" w:after="192" w:line="280" w:lineRule="atLeast"/>
        <w:rPr>
          <w:rFonts w:cs="Arial"/>
          <w:b/>
          <w:color w:val="000000" w:themeColor="text1"/>
          <w:szCs w:val="22"/>
        </w:rPr>
      </w:pPr>
      <w:r w:rsidRPr="000A4298">
        <w:rPr>
          <w:b/>
          <w:color w:val="000000" w:themeColor="text1"/>
        </w:rPr>
        <w:t>Constitutional Standards</w:t>
      </w:r>
    </w:p>
    <w:p w14:paraId="490F5ABB" w14:textId="77777777" w:rsidR="00E95F4D" w:rsidRPr="003416EA" w:rsidRDefault="00E95F4D" w:rsidP="003416EA">
      <w:pPr>
        <w:pStyle w:val="MainText"/>
        <w:spacing w:beforeLines="80" w:before="192" w:afterLines="80" w:after="192" w:line="280" w:lineRule="atLeast"/>
        <w:rPr>
          <w:szCs w:val="22"/>
        </w:rPr>
      </w:pPr>
      <w:r w:rsidRPr="00E95F4D">
        <w:t xml:space="preserve">SFHA, and our fully mutual co-operative members in particular, </w:t>
      </w:r>
      <w:r w:rsidR="00663852" w:rsidRPr="00E95F4D">
        <w:t xml:space="preserve">raised concerns about the pre-existing constitutional requirement to make the RSL’s members’ names </w:t>
      </w:r>
      <w:r w:rsidRPr="00E95F4D">
        <w:t>publicly</w:t>
      </w:r>
      <w:r w:rsidR="00663852" w:rsidRPr="00E95F4D">
        <w:t xml:space="preserve"> available. </w:t>
      </w:r>
      <w:r w:rsidRPr="00E95F4D">
        <w:t>We</w:t>
      </w:r>
      <w:r w:rsidR="00663852" w:rsidRPr="00E95F4D">
        <w:t xml:space="preserve"> suggested </w:t>
      </w:r>
      <w:r w:rsidRPr="00E95F4D">
        <w:t xml:space="preserve">in our consultation response </w:t>
      </w:r>
      <w:r w:rsidR="00663852" w:rsidRPr="00E95F4D">
        <w:t xml:space="preserve">that this requirement be changed to reflect the wording of the Co-operative and </w:t>
      </w:r>
      <w:r w:rsidR="00663852" w:rsidRPr="003416EA">
        <w:rPr>
          <w:szCs w:val="22"/>
        </w:rPr>
        <w:t>Community Benefits Societies Act</w:t>
      </w:r>
      <w:r w:rsidRPr="003416EA">
        <w:rPr>
          <w:szCs w:val="22"/>
        </w:rPr>
        <w:t xml:space="preserve">.   </w:t>
      </w:r>
    </w:p>
    <w:p w14:paraId="6B6D9836" w14:textId="66753A03" w:rsidR="003416EA" w:rsidRPr="003416EA" w:rsidRDefault="00E95F4D" w:rsidP="003416EA">
      <w:pPr>
        <w:pStyle w:val="MainText"/>
        <w:spacing w:beforeLines="80" w:before="192" w:afterLines="80" w:after="192" w:line="280" w:lineRule="atLeast"/>
        <w:rPr>
          <w:szCs w:val="22"/>
        </w:rPr>
      </w:pPr>
      <w:r w:rsidRPr="003416EA">
        <w:rPr>
          <w:szCs w:val="22"/>
        </w:rPr>
        <w:lastRenderedPageBreak/>
        <w:t>This change has been made in the new Framework, and SFHA will reflect this in our forthcoming review of the Model Rules. This means requirements in the Rules around the register of members names can be greatly simplified and made more user friendly.</w:t>
      </w:r>
    </w:p>
    <w:p w14:paraId="56C7BB95" w14:textId="08DB9C73" w:rsidR="00B52A08" w:rsidRPr="003416EA" w:rsidRDefault="00B52A08" w:rsidP="003416EA">
      <w:pPr>
        <w:pStyle w:val="MainText"/>
        <w:numPr>
          <w:ilvl w:val="0"/>
          <w:numId w:val="7"/>
        </w:numPr>
        <w:spacing w:beforeLines="80" w:before="192" w:afterLines="80" w:after="192" w:line="280" w:lineRule="atLeast"/>
        <w:rPr>
          <w:rFonts w:cs="Arial"/>
          <w:b/>
          <w:szCs w:val="22"/>
        </w:rPr>
      </w:pPr>
      <w:r w:rsidRPr="003416EA">
        <w:rPr>
          <w:rFonts w:cs="Arial"/>
          <w:b/>
          <w:szCs w:val="22"/>
        </w:rPr>
        <w:t>Regulatory Status</w:t>
      </w:r>
    </w:p>
    <w:p w14:paraId="2CD10DD7" w14:textId="0A373BFE" w:rsidR="004A12FE" w:rsidRPr="003416EA" w:rsidRDefault="004A12FE" w:rsidP="003416EA">
      <w:pPr>
        <w:spacing w:before="100" w:beforeAutospacing="1" w:after="100" w:afterAutospacing="1" w:line="240" w:lineRule="auto"/>
        <w:rPr>
          <w:rFonts w:cs="Arial"/>
        </w:rPr>
      </w:pPr>
      <w:r w:rsidRPr="003416EA">
        <w:rPr>
          <w:rFonts w:cs="Arial"/>
        </w:rPr>
        <w:t>No additions have been made to the framework or guidance</w:t>
      </w:r>
      <w:r w:rsidR="00C16860" w:rsidRPr="003416EA">
        <w:rPr>
          <w:rFonts w:cs="Arial"/>
        </w:rPr>
        <w:t xml:space="preserve"> regarding the middle category of regulatory status “working towards compliance”, although </w:t>
      </w:r>
      <w:r w:rsidRPr="003416EA">
        <w:rPr>
          <w:rFonts w:cs="Arial"/>
        </w:rPr>
        <w:t>this was an area that many – including SFHA – highlighted required more guidance.  Helpfully, t</w:t>
      </w:r>
      <w:r w:rsidR="00C16860" w:rsidRPr="003416EA">
        <w:rPr>
          <w:rFonts w:cs="Arial"/>
        </w:rPr>
        <w:t>he SHR did provide more Clarification that the “Under Review” status will only be used when there is a potentially significant or serious issue that requires to be investigated.     </w:t>
      </w:r>
    </w:p>
    <w:p w14:paraId="27DBEE06" w14:textId="227A98F2" w:rsidR="00483AF1" w:rsidRPr="003416EA" w:rsidRDefault="004A12FE" w:rsidP="003416EA">
      <w:pPr>
        <w:spacing w:before="100" w:beforeAutospacing="1" w:after="100" w:afterAutospacing="1" w:line="240" w:lineRule="auto"/>
        <w:rPr>
          <w:rFonts w:cs="Arial"/>
        </w:rPr>
      </w:pPr>
      <w:r w:rsidRPr="003416EA">
        <w:rPr>
          <w:rFonts w:cs="Arial"/>
        </w:rPr>
        <w:t>There</w:t>
      </w:r>
      <w:r w:rsidR="00C16860" w:rsidRPr="003416EA">
        <w:rPr>
          <w:rFonts w:cs="Arial"/>
        </w:rPr>
        <w:t xml:space="preserve"> is still uncertainty in the sector about who would fall under the “working towards compliance” category and what issues would lead to this.   The implications of these status’ in terms of how lenders would view them is important to clarify</w:t>
      </w:r>
      <w:r w:rsidRPr="003416EA">
        <w:rPr>
          <w:rFonts w:cs="Arial"/>
        </w:rPr>
        <w:t xml:space="preserve">.  </w:t>
      </w:r>
      <w:r w:rsidR="00C16860" w:rsidRPr="003416EA">
        <w:rPr>
          <w:rFonts w:cs="Arial"/>
        </w:rPr>
        <w:t xml:space="preserve"> </w:t>
      </w:r>
      <w:r w:rsidRPr="003416EA">
        <w:rPr>
          <w:rFonts w:cs="Arial"/>
        </w:rPr>
        <w:t>SFHA will seek to clarify this with the SHR.</w:t>
      </w:r>
      <w:r w:rsidR="00C16860" w:rsidRPr="003416EA">
        <w:rPr>
          <w:rFonts w:cs="Arial"/>
        </w:rPr>
        <w:t>  </w:t>
      </w:r>
    </w:p>
    <w:p w14:paraId="3B472C5B" w14:textId="47ADEDF8" w:rsidR="00C80A05" w:rsidRPr="003416EA" w:rsidRDefault="00483AF1" w:rsidP="003416EA">
      <w:pPr>
        <w:pStyle w:val="MainText"/>
        <w:numPr>
          <w:ilvl w:val="0"/>
          <w:numId w:val="7"/>
        </w:numPr>
        <w:spacing w:beforeLines="80" w:before="192" w:afterLines="80" w:after="192" w:line="280" w:lineRule="atLeast"/>
        <w:rPr>
          <w:rFonts w:cs="Arial"/>
          <w:b/>
          <w:szCs w:val="22"/>
        </w:rPr>
      </w:pPr>
      <w:r w:rsidRPr="003416EA">
        <w:rPr>
          <w:rFonts w:cs="Arial"/>
          <w:b/>
          <w:szCs w:val="22"/>
        </w:rPr>
        <w:t>Statutory Guidance</w:t>
      </w:r>
      <w:r w:rsidR="004A12FE" w:rsidRPr="003416EA">
        <w:rPr>
          <w:rFonts w:cs="Arial"/>
          <w:b/>
          <w:szCs w:val="22"/>
        </w:rPr>
        <w:t xml:space="preserve"> vs Advisory Guidance</w:t>
      </w:r>
    </w:p>
    <w:p w14:paraId="4F8E76AB" w14:textId="05800FD2" w:rsidR="004A12FE" w:rsidRPr="003416EA" w:rsidRDefault="00677762" w:rsidP="003416EA">
      <w:pPr>
        <w:pStyle w:val="MainText"/>
        <w:spacing w:beforeLines="80" w:before="192" w:afterLines="80" w:after="192" w:line="280" w:lineRule="atLeast"/>
        <w:rPr>
          <w:rFonts w:cs="Arial"/>
          <w:szCs w:val="22"/>
        </w:rPr>
      </w:pPr>
      <w:r w:rsidRPr="003416EA">
        <w:rPr>
          <w:rFonts w:cs="Arial"/>
          <w:szCs w:val="22"/>
        </w:rPr>
        <w:t xml:space="preserve">In its response to consultation feedback, </w:t>
      </w:r>
      <w:r w:rsidR="004A12FE" w:rsidRPr="003416EA">
        <w:rPr>
          <w:rFonts w:cs="Arial"/>
          <w:szCs w:val="22"/>
        </w:rPr>
        <w:t>the SHR specifies the difference between “statutory” and “advisory” guidance, highlighting that</w:t>
      </w:r>
    </w:p>
    <w:p w14:paraId="774E85AD" w14:textId="77777777" w:rsidR="004A12FE" w:rsidRPr="003416EA" w:rsidRDefault="004A12FE" w:rsidP="003416EA">
      <w:pPr>
        <w:pStyle w:val="MainText"/>
        <w:numPr>
          <w:ilvl w:val="0"/>
          <w:numId w:val="32"/>
        </w:numPr>
        <w:spacing w:beforeLines="80" w:before="192" w:afterLines="80" w:after="192" w:line="280" w:lineRule="atLeast"/>
        <w:rPr>
          <w:rFonts w:cs="Arial"/>
          <w:szCs w:val="22"/>
        </w:rPr>
      </w:pPr>
      <w:r w:rsidRPr="003416EA">
        <w:rPr>
          <w:szCs w:val="22"/>
        </w:rPr>
        <w:t xml:space="preserve">Statutory Guidance sets out the requirements and standards with which social landlords will comply </w:t>
      </w:r>
    </w:p>
    <w:p w14:paraId="1CEBA01E" w14:textId="1A6B2E05" w:rsidR="004A12FE" w:rsidRPr="003416EA" w:rsidRDefault="004A12FE" w:rsidP="003416EA">
      <w:pPr>
        <w:pStyle w:val="MainText"/>
        <w:numPr>
          <w:ilvl w:val="0"/>
          <w:numId w:val="32"/>
        </w:numPr>
        <w:spacing w:beforeLines="80" w:before="192" w:afterLines="80" w:after="192" w:line="280" w:lineRule="atLeast"/>
        <w:rPr>
          <w:rFonts w:cs="Arial"/>
          <w:szCs w:val="22"/>
        </w:rPr>
      </w:pPr>
      <w:r w:rsidRPr="003416EA">
        <w:rPr>
          <w:szCs w:val="22"/>
        </w:rPr>
        <w:t>Advisory guidance provides information intended to help landlords achieve the standards and outcomes in the Charter, and to comply with regulatory requirements and with the Standards of Governance and Financial Management.</w:t>
      </w:r>
    </w:p>
    <w:p w14:paraId="63D3C9ED" w14:textId="4EF67B83" w:rsidR="003416EA" w:rsidRPr="003416EA" w:rsidRDefault="004A12FE" w:rsidP="003416EA">
      <w:pPr>
        <w:pStyle w:val="MainText"/>
        <w:spacing w:beforeLines="80" w:before="192" w:afterLines="80" w:after="192" w:line="280" w:lineRule="atLeast"/>
        <w:rPr>
          <w:szCs w:val="22"/>
        </w:rPr>
      </w:pPr>
      <w:r w:rsidRPr="003416EA">
        <w:rPr>
          <w:szCs w:val="22"/>
        </w:rPr>
        <w:t>This is an important distinction, and the SHR has committed to stating which category all current and future SHR guidance comes under.</w:t>
      </w:r>
    </w:p>
    <w:p w14:paraId="396FC78B" w14:textId="197E5CF9" w:rsidR="00677762" w:rsidRPr="003416EA" w:rsidRDefault="00677762" w:rsidP="003416EA">
      <w:pPr>
        <w:pStyle w:val="MainText"/>
        <w:numPr>
          <w:ilvl w:val="0"/>
          <w:numId w:val="7"/>
        </w:numPr>
        <w:spacing w:beforeLines="80" w:before="192" w:afterLines="80" w:after="192" w:line="280" w:lineRule="atLeast"/>
        <w:rPr>
          <w:rFonts w:cs="Arial"/>
          <w:b/>
          <w:szCs w:val="22"/>
        </w:rPr>
      </w:pPr>
      <w:r w:rsidRPr="003416EA">
        <w:rPr>
          <w:rFonts w:cs="Arial"/>
          <w:b/>
          <w:szCs w:val="22"/>
        </w:rPr>
        <w:t>Assurance Statements</w:t>
      </w:r>
    </w:p>
    <w:p w14:paraId="79200B4B" w14:textId="4BC17995" w:rsidR="004A12FE" w:rsidRPr="003416EA" w:rsidRDefault="004A12FE" w:rsidP="003416EA">
      <w:pPr>
        <w:pStyle w:val="MainText"/>
        <w:spacing w:beforeLines="80" w:before="192" w:afterLines="80" w:after="192" w:line="280" w:lineRule="atLeast"/>
        <w:rPr>
          <w:rFonts w:cs="Arial"/>
          <w:szCs w:val="22"/>
        </w:rPr>
      </w:pPr>
      <w:r w:rsidRPr="003416EA">
        <w:rPr>
          <w:rFonts w:cs="Arial"/>
          <w:szCs w:val="22"/>
        </w:rPr>
        <w:t xml:space="preserve">The </w:t>
      </w:r>
      <w:r w:rsidR="003416EA" w:rsidRPr="003416EA">
        <w:rPr>
          <w:rFonts w:cs="Arial"/>
          <w:szCs w:val="22"/>
        </w:rPr>
        <w:t xml:space="preserve">SHR has issued its guidance on </w:t>
      </w:r>
      <w:hyperlink r:id="rId12" w:history="1">
        <w:r w:rsidR="003416EA" w:rsidRPr="003416EA">
          <w:rPr>
            <w:rStyle w:val="Hyperlink"/>
            <w:rFonts w:cs="Arial"/>
            <w:szCs w:val="22"/>
          </w:rPr>
          <w:t>Assurance Statements</w:t>
        </w:r>
      </w:hyperlink>
    </w:p>
    <w:p w14:paraId="20FBC262" w14:textId="77777777" w:rsidR="003416EA" w:rsidRPr="003416EA" w:rsidRDefault="003416EA" w:rsidP="003416EA">
      <w:pPr>
        <w:spacing w:before="0" w:after="0" w:line="240" w:lineRule="auto"/>
      </w:pPr>
      <w:r w:rsidRPr="003416EA">
        <w:t>The guidance does not provide any further clarity on what is and is not material for the purposes of the assurance statement.    The SHR states that it is difficult to provide examples because it will depend on the individual circumstances of the organisation in each case.    This is perhaps something the tool kit can cover moving forward.   In terms of wording of the statement, whilst SHR has not provided a template, there is an appetite in the sector for ensuring the wording contains caveats such as “to the best of our knowledge…..”   SFHA is keen to test this with the SHR in the coming months.</w:t>
      </w:r>
    </w:p>
    <w:p w14:paraId="1046E52F" w14:textId="47E3B755" w:rsidR="0044619C" w:rsidRPr="003416EA" w:rsidRDefault="0044619C" w:rsidP="003416EA">
      <w:pPr>
        <w:rPr>
          <w:color w:val="000000" w:themeColor="text1"/>
        </w:rPr>
      </w:pPr>
      <w:r w:rsidRPr="003416EA">
        <w:rPr>
          <w:color w:val="000000" w:themeColor="text1"/>
        </w:rPr>
        <w:t xml:space="preserve">We are also seeking to confirm what an RSL who was in intervention/working towards compliance at the time of the submission of the assurance statement should state.   </w:t>
      </w:r>
    </w:p>
    <w:p w14:paraId="05FD0941" w14:textId="77777777" w:rsidR="003416EA" w:rsidRPr="003416EA" w:rsidRDefault="003416EA" w:rsidP="003416EA">
      <w:pPr>
        <w:rPr>
          <w:color w:val="000000" w:themeColor="text1"/>
        </w:rPr>
      </w:pPr>
    </w:p>
    <w:p w14:paraId="492BA3CA" w14:textId="08214F0D" w:rsidR="00B52A08" w:rsidRDefault="00B52A08" w:rsidP="003416EA">
      <w:pPr>
        <w:pStyle w:val="MainText"/>
        <w:numPr>
          <w:ilvl w:val="0"/>
          <w:numId w:val="7"/>
        </w:numPr>
        <w:spacing w:beforeLines="80" w:before="192" w:afterLines="80" w:after="192" w:line="280" w:lineRule="atLeast"/>
        <w:rPr>
          <w:rFonts w:cs="Arial"/>
          <w:b/>
          <w:szCs w:val="22"/>
        </w:rPr>
      </w:pPr>
      <w:r>
        <w:rPr>
          <w:rFonts w:cs="Arial"/>
          <w:b/>
          <w:szCs w:val="22"/>
        </w:rPr>
        <w:t>Charter Indicators</w:t>
      </w:r>
    </w:p>
    <w:p w14:paraId="2A375819" w14:textId="1805C368" w:rsidR="00A90FDC" w:rsidRDefault="003725CA" w:rsidP="003416EA">
      <w:pPr>
        <w:pStyle w:val="MainText"/>
        <w:spacing w:beforeLines="80" w:before="192" w:afterLines="80" w:after="192" w:line="280" w:lineRule="atLeast"/>
        <w:rPr>
          <w:rFonts w:cs="Arial"/>
          <w:color w:val="000000"/>
          <w:szCs w:val="22"/>
          <w:bdr w:val="none" w:sz="0" w:space="0" w:color="auto" w:frame="1"/>
          <w:lang w:val="en"/>
        </w:rPr>
      </w:pPr>
      <w:r w:rsidRPr="003725CA">
        <w:rPr>
          <w:rFonts w:cs="Arial"/>
          <w:color w:val="000000"/>
          <w:szCs w:val="22"/>
        </w:rPr>
        <w:t xml:space="preserve">The SHR has published new technical </w:t>
      </w:r>
      <w:r w:rsidR="00677762" w:rsidRPr="003725CA">
        <w:rPr>
          <w:rFonts w:cs="Arial"/>
          <w:color w:val="000000"/>
          <w:szCs w:val="22"/>
        </w:rPr>
        <w:t>Guidance - </w:t>
      </w:r>
      <w:hyperlink r:id="rId13" w:history="1">
        <w:r w:rsidR="00677762" w:rsidRPr="003725CA">
          <w:rPr>
            <w:rFonts w:cs="Arial"/>
            <w:b/>
            <w:bCs/>
            <w:color w:val="0000FF"/>
            <w:szCs w:val="22"/>
            <w:u w:val="single"/>
            <w:bdr w:val="none" w:sz="0" w:space="0" w:color="auto" w:frame="1"/>
          </w:rPr>
          <w:t>Scottish Social Housing Charter Technical Guidance</w:t>
        </w:r>
        <w:r w:rsidR="00677762" w:rsidRPr="003725CA">
          <w:rPr>
            <w:rFonts w:cs="Arial"/>
            <w:b/>
            <w:bCs/>
            <w:color w:val="B7274B"/>
            <w:szCs w:val="22"/>
            <w:u w:val="single"/>
            <w:bdr w:val="none" w:sz="0" w:space="0" w:color="auto" w:frame="1"/>
          </w:rPr>
          <w:t> </w:t>
        </w:r>
      </w:hyperlink>
      <w:r w:rsidR="00677762" w:rsidRPr="003725CA">
        <w:rPr>
          <w:rFonts w:cs="Arial"/>
          <w:color w:val="000000"/>
          <w:szCs w:val="22"/>
        </w:rPr>
        <w:t>and </w:t>
      </w:r>
      <w:hyperlink r:id="rId14" w:history="1">
        <w:r w:rsidR="00677762" w:rsidRPr="003725CA">
          <w:rPr>
            <w:rFonts w:cs="Arial"/>
            <w:b/>
            <w:bCs/>
            <w:color w:val="0000FF"/>
            <w:szCs w:val="22"/>
            <w:u w:val="single"/>
            <w:bdr w:val="none" w:sz="0" w:space="0" w:color="auto" w:frame="1"/>
          </w:rPr>
          <w:t>FAQs</w:t>
        </w:r>
      </w:hyperlink>
      <w:r w:rsidR="00677762" w:rsidRPr="003725CA">
        <w:rPr>
          <w:rFonts w:cs="Arial"/>
          <w:color w:val="000000"/>
          <w:szCs w:val="22"/>
        </w:rPr>
        <w:t>. </w:t>
      </w:r>
      <w:r w:rsidR="00677762" w:rsidRPr="003725CA">
        <w:rPr>
          <w:rFonts w:cs="Arial"/>
          <w:color w:val="000000"/>
          <w:szCs w:val="22"/>
          <w:bdr w:val="none" w:sz="0" w:space="0" w:color="auto" w:frame="1"/>
          <w:lang w:val="en"/>
        </w:rPr>
        <w:t xml:space="preserve">These also go live from 1 April 2019 and will apply to Charter returns due in May 2020. For returns due in May 2019 </w:t>
      </w:r>
      <w:r w:rsidRPr="003725CA">
        <w:rPr>
          <w:rFonts w:cs="Arial"/>
          <w:color w:val="000000"/>
          <w:szCs w:val="22"/>
          <w:bdr w:val="none" w:sz="0" w:space="0" w:color="auto" w:frame="1"/>
          <w:lang w:val="en"/>
        </w:rPr>
        <w:t>the</w:t>
      </w:r>
      <w:r w:rsidR="00677762" w:rsidRPr="003725CA">
        <w:rPr>
          <w:rFonts w:cs="Arial"/>
          <w:color w:val="000000"/>
          <w:szCs w:val="22"/>
          <w:bdr w:val="none" w:sz="0" w:space="0" w:color="auto" w:frame="1"/>
          <w:lang w:val="en"/>
        </w:rPr>
        <w:t xml:space="preserve"> existing </w:t>
      </w:r>
      <w:hyperlink r:id="rId15" w:history="1">
        <w:r w:rsidR="00677762" w:rsidRPr="003725CA">
          <w:rPr>
            <w:rFonts w:cs="Arial"/>
            <w:b/>
            <w:bCs/>
            <w:color w:val="0000FF"/>
            <w:szCs w:val="22"/>
            <w:u w:val="single"/>
            <w:bdr w:val="none" w:sz="0" w:space="0" w:color="auto" w:frame="1"/>
            <w:lang w:val="en"/>
          </w:rPr>
          <w:t>guidance</w:t>
        </w:r>
      </w:hyperlink>
      <w:r w:rsidR="00677762" w:rsidRPr="003725CA">
        <w:rPr>
          <w:rFonts w:cs="Arial"/>
          <w:color w:val="000000"/>
          <w:szCs w:val="22"/>
          <w:bdr w:val="none" w:sz="0" w:space="0" w:color="auto" w:frame="1"/>
          <w:lang w:val="en"/>
        </w:rPr>
        <w:t> and indicators apply.</w:t>
      </w:r>
    </w:p>
    <w:p w14:paraId="30263490" w14:textId="4C2FD8F2" w:rsidR="000A4298" w:rsidRDefault="000A4298" w:rsidP="003416EA">
      <w:pPr>
        <w:pStyle w:val="MainText"/>
        <w:spacing w:beforeLines="80" w:before="192" w:afterLines="80" w:after="192" w:line="280" w:lineRule="atLeast"/>
        <w:rPr>
          <w:rFonts w:cs="Arial"/>
          <w:color w:val="000000"/>
          <w:szCs w:val="22"/>
          <w:bdr w:val="none" w:sz="0" w:space="0" w:color="auto" w:frame="1"/>
          <w:lang w:val="en"/>
        </w:rPr>
      </w:pPr>
      <w:r>
        <w:rPr>
          <w:rFonts w:cs="Arial"/>
          <w:color w:val="000000"/>
          <w:szCs w:val="22"/>
          <w:bdr w:val="none" w:sz="0" w:space="0" w:color="auto" w:frame="1"/>
          <w:lang w:val="en"/>
        </w:rPr>
        <w:lastRenderedPageBreak/>
        <w:t>A number of changes have been made to the Charter Indicators proposed in the consultation, highlighted below:</w:t>
      </w:r>
    </w:p>
    <w:p w14:paraId="62A2A749" w14:textId="2AD2A8CD" w:rsidR="000A4298" w:rsidRPr="003725CA" w:rsidRDefault="000A4298" w:rsidP="003416EA">
      <w:pPr>
        <w:pStyle w:val="MainText"/>
        <w:numPr>
          <w:ilvl w:val="0"/>
          <w:numId w:val="32"/>
        </w:numPr>
        <w:spacing w:beforeLines="80" w:before="192" w:afterLines="80" w:after="192" w:line="280" w:lineRule="atLeast"/>
        <w:rPr>
          <w:rFonts w:cs="Arial"/>
          <w:b/>
          <w:szCs w:val="22"/>
        </w:rPr>
      </w:pPr>
      <w:r w:rsidRPr="000A6E74">
        <w:rPr>
          <w:rFonts w:cs="Arial"/>
          <w:b/>
          <w:color w:val="000000"/>
          <w:szCs w:val="22"/>
          <w:bdr w:val="none" w:sz="0" w:space="0" w:color="auto" w:frame="1"/>
          <w:lang w:val="en"/>
        </w:rPr>
        <w:t>Indicator 13</w:t>
      </w:r>
      <w:r w:rsidR="005304B9" w:rsidRPr="005304B9">
        <w:t xml:space="preserve"> </w:t>
      </w:r>
      <w:r w:rsidR="005304B9" w:rsidRPr="005304B9">
        <w:rPr>
          <w:i/>
        </w:rPr>
        <w:t xml:space="preserve">Percentage of tenants satisfied with </w:t>
      </w:r>
      <w:r w:rsidR="005304B9" w:rsidRPr="000A6E74">
        <w:rPr>
          <w:i/>
          <w:color w:val="FF0000"/>
        </w:rPr>
        <w:t xml:space="preserve">the </w:t>
      </w:r>
      <w:r w:rsidR="005304B9" w:rsidRPr="005304B9">
        <w:rPr>
          <w:i/>
          <w:color w:val="FF0000"/>
        </w:rPr>
        <w:t xml:space="preserve">landlord’s contribution to the management of </w:t>
      </w:r>
      <w:r w:rsidR="005304B9" w:rsidRPr="005304B9">
        <w:rPr>
          <w:i/>
        </w:rPr>
        <w:t>the neighbourhood they live in</w:t>
      </w:r>
    </w:p>
    <w:p w14:paraId="283B7726" w14:textId="4910F9AE" w:rsidR="00A90FDC" w:rsidRDefault="000A6E74" w:rsidP="003416EA">
      <w:pPr>
        <w:pStyle w:val="MainText"/>
        <w:spacing w:beforeLines="80" w:before="192" w:afterLines="80" w:after="192" w:line="280" w:lineRule="atLeast"/>
        <w:ind w:left="720"/>
        <w:rPr>
          <w:rFonts w:cs="Arial"/>
          <w:szCs w:val="22"/>
        </w:rPr>
      </w:pPr>
      <w:r>
        <w:rPr>
          <w:rFonts w:cs="Arial"/>
          <w:szCs w:val="22"/>
        </w:rPr>
        <w:t>This is a helpful addition, in line with the SFHA response to the consultation.  Satisfaction with the neighbourhood is not entirely within the landlord’s control, and they should only be assessed on their contribution to estate management.</w:t>
      </w:r>
    </w:p>
    <w:p w14:paraId="31B85C3E" w14:textId="1CEB9579" w:rsidR="000A6E74" w:rsidRPr="00B93155" w:rsidRDefault="000A6E74" w:rsidP="003416EA">
      <w:pPr>
        <w:pStyle w:val="MainText"/>
        <w:numPr>
          <w:ilvl w:val="0"/>
          <w:numId w:val="32"/>
        </w:numPr>
        <w:spacing w:beforeLines="80" w:before="192" w:afterLines="80" w:after="192" w:line="280" w:lineRule="atLeast"/>
        <w:rPr>
          <w:rFonts w:cs="Arial"/>
          <w:b/>
          <w:szCs w:val="22"/>
        </w:rPr>
      </w:pPr>
      <w:r w:rsidRPr="000A6E74">
        <w:rPr>
          <w:rFonts w:cs="Arial"/>
          <w:b/>
          <w:szCs w:val="22"/>
        </w:rPr>
        <w:t>Indicator</w:t>
      </w:r>
      <w:r w:rsidR="00C77135">
        <w:rPr>
          <w:rFonts w:cs="Arial"/>
          <w:b/>
          <w:szCs w:val="22"/>
        </w:rPr>
        <w:t xml:space="preserve"> 20</w:t>
      </w:r>
      <w:r w:rsidRPr="000A6E74">
        <w:rPr>
          <w:rFonts w:cs="Arial"/>
          <w:b/>
          <w:szCs w:val="22"/>
        </w:rPr>
        <w:t xml:space="preserve"> </w:t>
      </w:r>
      <w:r w:rsidR="00C77135" w:rsidRPr="00C77135">
        <w:rPr>
          <w:i/>
        </w:rPr>
        <w:t xml:space="preserve">Total cost of adaptations completed in the year </w:t>
      </w:r>
      <w:r w:rsidR="00C77135" w:rsidRPr="00C77135">
        <w:rPr>
          <w:i/>
          <w:color w:val="FF0000"/>
        </w:rPr>
        <w:t>by source of funding (£).</w:t>
      </w:r>
    </w:p>
    <w:p w14:paraId="14D20FE9" w14:textId="3D4B25B9" w:rsidR="00B93155" w:rsidRPr="0021035D" w:rsidRDefault="0021035D" w:rsidP="003416EA">
      <w:pPr>
        <w:pStyle w:val="MainText"/>
        <w:spacing w:beforeLines="80" w:before="192" w:afterLines="80" w:after="192" w:line="280" w:lineRule="atLeast"/>
        <w:ind w:left="720"/>
        <w:rPr>
          <w:rFonts w:cs="Arial"/>
          <w:szCs w:val="22"/>
        </w:rPr>
      </w:pPr>
      <w:r>
        <w:rPr>
          <w:rFonts w:cs="Arial"/>
          <w:szCs w:val="22"/>
        </w:rPr>
        <w:t>SFHA commented on this indicator that the cost would vary dependent on the type of adaptation – i.e. if it was major or minor works.  This change, whilst not addressing the issue we highlighted fully, could be helpful in distinguishing between adaptations the RSL is funding and that are being funded through grants.</w:t>
      </w:r>
    </w:p>
    <w:p w14:paraId="46B396C2" w14:textId="06F3107D" w:rsidR="006F267B" w:rsidRPr="0021035D" w:rsidRDefault="006F267B" w:rsidP="003416EA">
      <w:pPr>
        <w:pStyle w:val="MainText"/>
        <w:numPr>
          <w:ilvl w:val="0"/>
          <w:numId w:val="32"/>
        </w:numPr>
        <w:spacing w:beforeLines="80" w:before="192" w:afterLines="80" w:after="192" w:line="280" w:lineRule="atLeast"/>
        <w:rPr>
          <w:rFonts w:cs="Arial"/>
          <w:b/>
          <w:i/>
          <w:szCs w:val="22"/>
        </w:rPr>
      </w:pPr>
      <w:r w:rsidRPr="006F267B">
        <w:rPr>
          <w:b/>
        </w:rPr>
        <w:t>Indicator 23</w:t>
      </w:r>
      <w:r>
        <w:t xml:space="preserve"> </w:t>
      </w:r>
      <w:r w:rsidRPr="006F267B">
        <w:rPr>
          <w:i/>
        </w:rPr>
        <w:t xml:space="preserve">the percentage of referrals under Section 5, </w:t>
      </w:r>
      <w:r w:rsidRPr="006F267B">
        <w:rPr>
          <w:i/>
          <w:color w:val="FF0000"/>
        </w:rPr>
        <w:t>and other referrals for homeless households made by the local authority</w:t>
      </w:r>
      <w:r w:rsidRPr="006F267B">
        <w:rPr>
          <w:i/>
        </w:rPr>
        <w:t>, that result in an offer, and the percentage of those offers that result in a let.</w:t>
      </w:r>
    </w:p>
    <w:p w14:paraId="35CC3C90" w14:textId="7D100CF0" w:rsidR="0021035D" w:rsidRPr="0021035D" w:rsidRDefault="0021035D" w:rsidP="003416EA">
      <w:pPr>
        <w:pStyle w:val="MainText"/>
        <w:spacing w:beforeLines="80" w:before="192" w:afterLines="80" w:after="192" w:line="280" w:lineRule="atLeast"/>
        <w:ind w:left="720"/>
        <w:rPr>
          <w:rFonts w:cs="Arial"/>
          <w:i/>
          <w:szCs w:val="22"/>
        </w:rPr>
      </w:pPr>
      <w:r>
        <w:t xml:space="preserve">SFHA commented on this indicator that some local authorities, such as Edinburgh, do not offer section 5 referrals.  This change seeks to address that point. </w:t>
      </w:r>
    </w:p>
    <w:p w14:paraId="5EFCCB87" w14:textId="4225E96A" w:rsidR="006F267B" w:rsidRPr="006F267B" w:rsidRDefault="006F267B" w:rsidP="003416EA">
      <w:pPr>
        <w:pStyle w:val="MainText"/>
        <w:numPr>
          <w:ilvl w:val="0"/>
          <w:numId w:val="32"/>
        </w:numPr>
        <w:spacing w:beforeLines="80" w:before="192" w:afterLines="80" w:after="192" w:line="280" w:lineRule="atLeast"/>
        <w:rPr>
          <w:rFonts w:cs="Arial"/>
          <w:b/>
          <w:i/>
          <w:szCs w:val="22"/>
        </w:rPr>
      </w:pPr>
      <w:r>
        <w:rPr>
          <w:b/>
        </w:rPr>
        <w:t xml:space="preserve">Indicator 26 </w:t>
      </w:r>
      <w:r w:rsidRPr="006F267B">
        <w:rPr>
          <w:i/>
          <w:color w:val="FF0000"/>
        </w:rPr>
        <w:t xml:space="preserve">Rent collected as a percentage of total rent due in the reporting </w:t>
      </w:r>
      <w:proofErr w:type="spellStart"/>
      <w:r w:rsidRPr="006F267B">
        <w:rPr>
          <w:i/>
          <w:color w:val="FF0000"/>
        </w:rPr>
        <w:t>year</w:t>
      </w:r>
      <w:r w:rsidRPr="006F267B">
        <w:rPr>
          <w:i/>
        </w:rPr>
        <w:t>.</w:t>
      </w:r>
      <w:r w:rsidRPr="006F267B">
        <w:rPr>
          <w:i/>
          <w:dstrike/>
        </w:rPr>
        <w:t>Total</w:t>
      </w:r>
      <w:proofErr w:type="spellEnd"/>
      <w:r w:rsidRPr="006F267B">
        <w:rPr>
          <w:i/>
          <w:dstrike/>
        </w:rPr>
        <w:t xml:space="preserve"> amount of rent collected over the whole of the reporting year as a proportion of the total amount of rent due that financial year (current tenants only).</w:t>
      </w:r>
    </w:p>
    <w:p w14:paraId="24AE4BB0" w14:textId="7DF4FAA0" w:rsidR="006F267B" w:rsidRPr="006F267B" w:rsidRDefault="006F267B" w:rsidP="003416EA">
      <w:pPr>
        <w:pStyle w:val="MainText"/>
        <w:numPr>
          <w:ilvl w:val="0"/>
          <w:numId w:val="32"/>
        </w:numPr>
        <w:spacing w:beforeLines="80" w:before="192" w:afterLines="80" w:after="192" w:line="280" w:lineRule="atLeast"/>
        <w:rPr>
          <w:rFonts w:cs="Arial"/>
          <w:b/>
          <w:i/>
          <w:szCs w:val="22"/>
        </w:rPr>
      </w:pPr>
      <w:r>
        <w:rPr>
          <w:b/>
        </w:rPr>
        <w:t xml:space="preserve">Indicator 27 </w:t>
      </w:r>
      <w:r w:rsidRPr="006F267B">
        <w:rPr>
          <w:i/>
          <w:color w:val="FF0000"/>
        </w:rPr>
        <w:t xml:space="preserve">Gross rent arrears (all tenants) as at 31 March each year as a percentage of rent due for the reporting </w:t>
      </w:r>
      <w:proofErr w:type="spellStart"/>
      <w:r w:rsidRPr="006F267B">
        <w:rPr>
          <w:i/>
          <w:color w:val="FF0000"/>
        </w:rPr>
        <w:t>year</w:t>
      </w:r>
      <w:r w:rsidRPr="006F267B">
        <w:rPr>
          <w:color w:val="FF0000"/>
        </w:rPr>
        <w:t>.</w:t>
      </w:r>
      <w:r w:rsidRPr="006F267B">
        <w:rPr>
          <w:i/>
          <w:dstrike/>
        </w:rPr>
        <w:t>Total</w:t>
      </w:r>
      <w:proofErr w:type="spellEnd"/>
      <w:r w:rsidRPr="006F267B">
        <w:rPr>
          <w:i/>
          <w:dstrike/>
        </w:rPr>
        <w:t xml:space="preserve"> value of gross arrears as at 31 March each year as a % of rent due that financial year (current tenants only).</w:t>
      </w:r>
    </w:p>
    <w:p w14:paraId="3A3FC55C" w14:textId="55CFD5F0" w:rsidR="006F267B" w:rsidRPr="006F267B" w:rsidRDefault="006F267B" w:rsidP="003416EA">
      <w:pPr>
        <w:pStyle w:val="MainText"/>
        <w:numPr>
          <w:ilvl w:val="0"/>
          <w:numId w:val="32"/>
        </w:numPr>
        <w:spacing w:beforeLines="80" w:before="192" w:afterLines="80" w:after="192" w:line="280" w:lineRule="atLeast"/>
        <w:rPr>
          <w:rFonts w:cs="Arial"/>
          <w:b/>
          <w:i/>
          <w:szCs w:val="22"/>
        </w:rPr>
      </w:pPr>
      <w:r>
        <w:rPr>
          <w:b/>
        </w:rPr>
        <w:t xml:space="preserve">Indicator C3 </w:t>
      </w:r>
      <w:r w:rsidRPr="00B93155">
        <w:rPr>
          <w:i/>
          <w:color w:val="FF0000"/>
        </w:rPr>
        <w:t>Number of lets during the reporting year, split between ‘general needs’ and ‘supported housing’</w:t>
      </w:r>
    </w:p>
    <w:p w14:paraId="698E7C44" w14:textId="77777777" w:rsidR="00B93155" w:rsidRPr="00B93155" w:rsidRDefault="00B93155" w:rsidP="003416EA">
      <w:pPr>
        <w:pStyle w:val="MainText"/>
        <w:spacing w:beforeLines="80" w:before="192" w:afterLines="80" w:after="192" w:line="280" w:lineRule="atLeast"/>
        <w:ind w:left="360"/>
        <w:rPr>
          <w:rFonts w:cs="Arial"/>
          <w:b/>
          <w:szCs w:val="22"/>
        </w:rPr>
      </w:pPr>
    </w:p>
    <w:p w14:paraId="0C56ABE6" w14:textId="4E9A03E0" w:rsidR="00C80A05" w:rsidRDefault="00C80A05" w:rsidP="003416EA">
      <w:pPr>
        <w:pStyle w:val="MainText"/>
        <w:numPr>
          <w:ilvl w:val="0"/>
          <w:numId w:val="7"/>
        </w:numPr>
        <w:spacing w:beforeLines="80" w:before="192" w:afterLines="80" w:after="192" w:line="280" w:lineRule="atLeast"/>
        <w:rPr>
          <w:rFonts w:cs="Arial"/>
          <w:b/>
          <w:szCs w:val="22"/>
        </w:rPr>
      </w:pPr>
      <w:r>
        <w:rPr>
          <w:rFonts w:cs="Arial"/>
          <w:b/>
          <w:szCs w:val="22"/>
        </w:rPr>
        <w:t>Notifiable Events Guidance</w:t>
      </w:r>
    </w:p>
    <w:p w14:paraId="740D47C8" w14:textId="2B4A4B4B" w:rsidR="00C80A05" w:rsidRDefault="00E83DA4" w:rsidP="003416EA">
      <w:pPr>
        <w:pStyle w:val="MainText"/>
        <w:spacing w:beforeLines="80" w:before="192" w:afterLines="80" w:after="192" w:line="280" w:lineRule="atLeast"/>
        <w:rPr>
          <w:rStyle w:val="Hyperlink"/>
          <w:rFonts w:cs="Arial"/>
          <w:color w:val="000000" w:themeColor="text1"/>
          <w:szCs w:val="22"/>
          <w:u w:val="none"/>
        </w:rPr>
      </w:pPr>
      <w:r>
        <w:t xml:space="preserve">The SHR </w:t>
      </w:r>
      <w:hyperlink r:id="rId16" w:history="1">
        <w:r w:rsidR="00C80A05" w:rsidRPr="00C80A05">
          <w:rPr>
            <w:rStyle w:val="Hyperlink"/>
            <w:rFonts w:cs="Arial"/>
            <w:szCs w:val="22"/>
          </w:rPr>
          <w:t>Notifiable Events guidance</w:t>
        </w:r>
      </w:hyperlink>
      <w:r>
        <w:rPr>
          <w:rStyle w:val="Hyperlink"/>
          <w:rFonts w:cs="Arial"/>
          <w:szCs w:val="22"/>
        </w:rPr>
        <w:t xml:space="preserve"> </w:t>
      </w:r>
      <w:r>
        <w:rPr>
          <w:rStyle w:val="Hyperlink"/>
          <w:rFonts w:cs="Arial"/>
          <w:color w:val="000000" w:themeColor="text1"/>
          <w:szCs w:val="22"/>
          <w:u w:val="none"/>
        </w:rPr>
        <w:t xml:space="preserve">has been changed since the consultation period, </w:t>
      </w:r>
      <w:r w:rsidR="00C2045F">
        <w:rPr>
          <w:rStyle w:val="Hyperlink"/>
          <w:rFonts w:cs="Arial"/>
          <w:color w:val="000000" w:themeColor="text1"/>
          <w:szCs w:val="22"/>
          <w:u w:val="none"/>
        </w:rPr>
        <w:t>with some of the key changes noted below:</w:t>
      </w:r>
    </w:p>
    <w:p w14:paraId="57ACBBAD" w14:textId="14F057D0" w:rsidR="00E83DA4" w:rsidRDefault="00E83DA4" w:rsidP="003416EA">
      <w:pPr>
        <w:pStyle w:val="MainText"/>
        <w:numPr>
          <w:ilvl w:val="0"/>
          <w:numId w:val="34"/>
        </w:numPr>
        <w:spacing w:beforeLines="80" w:before="192" w:afterLines="80" w:after="192" w:line="280" w:lineRule="atLeast"/>
        <w:rPr>
          <w:rFonts w:cs="Arial"/>
          <w:color w:val="000000" w:themeColor="text1"/>
          <w:szCs w:val="22"/>
        </w:rPr>
      </w:pPr>
      <w:r>
        <w:rPr>
          <w:rFonts w:cs="Arial"/>
          <w:color w:val="000000" w:themeColor="text1"/>
          <w:szCs w:val="22"/>
        </w:rPr>
        <w:t xml:space="preserve">References to the SHR Recommended Practice on Business Planning have been removed to reflect SFHA comments </w:t>
      </w:r>
      <w:r w:rsidR="00C2045F">
        <w:rPr>
          <w:rFonts w:cs="Arial"/>
          <w:color w:val="000000" w:themeColor="text1"/>
          <w:szCs w:val="22"/>
        </w:rPr>
        <w:t xml:space="preserve">in our response </w:t>
      </w:r>
      <w:r>
        <w:rPr>
          <w:rFonts w:cs="Arial"/>
          <w:color w:val="000000" w:themeColor="text1"/>
          <w:szCs w:val="22"/>
        </w:rPr>
        <w:t>that it c</w:t>
      </w:r>
      <w:r w:rsidR="001F341F">
        <w:rPr>
          <w:rFonts w:cs="Arial"/>
          <w:color w:val="000000" w:themeColor="text1"/>
          <w:szCs w:val="22"/>
        </w:rPr>
        <w:t>ould not be implied that this was statutory guidance</w:t>
      </w:r>
      <w:r w:rsidR="00C2045F">
        <w:rPr>
          <w:rFonts w:cs="Arial"/>
          <w:color w:val="000000" w:themeColor="text1"/>
          <w:szCs w:val="22"/>
        </w:rPr>
        <w:t>.</w:t>
      </w:r>
    </w:p>
    <w:p w14:paraId="5CA29766" w14:textId="46642CCD" w:rsidR="00C2045F" w:rsidRPr="003F48BD" w:rsidRDefault="00C2045F" w:rsidP="003416EA">
      <w:pPr>
        <w:pStyle w:val="MainText"/>
        <w:numPr>
          <w:ilvl w:val="0"/>
          <w:numId w:val="34"/>
        </w:numPr>
        <w:spacing w:beforeLines="80" w:before="192" w:afterLines="80" w:after="192"/>
        <w:rPr>
          <w:i/>
          <w:color w:val="000000" w:themeColor="text1"/>
        </w:rPr>
      </w:pPr>
      <w:r>
        <w:t>SFHA had raised concerns about a proposed</w:t>
      </w:r>
      <w:r w:rsidRPr="00B603DA">
        <w:t xml:space="preserve"> requirement to notify the SHR if there </w:t>
      </w:r>
      <w:r>
        <w:t>we</w:t>
      </w:r>
      <w:r w:rsidRPr="00B603DA">
        <w:t xml:space="preserve">re </w:t>
      </w:r>
      <w:r w:rsidRPr="00B603DA">
        <w:rPr>
          <w:i/>
        </w:rPr>
        <w:t xml:space="preserve">“concerns raised by a local authority in relation to the RSL’s contribution to providing accommodation for people who are homeless whether or not committed to </w:t>
      </w:r>
      <w:r w:rsidRPr="003F48BD">
        <w:rPr>
          <w:i/>
          <w:color w:val="000000" w:themeColor="text1"/>
        </w:rPr>
        <w:t xml:space="preserve">writing.”  </w:t>
      </w:r>
      <w:r w:rsidRPr="003F48BD">
        <w:rPr>
          <w:color w:val="000000" w:themeColor="text1"/>
        </w:rPr>
        <w:t>We welcome that this has been removed from the Notifiable Events guidance.</w:t>
      </w:r>
    </w:p>
    <w:p w14:paraId="3BA32C70" w14:textId="3E091AF2" w:rsidR="00423747" w:rsidRPr="003F48BD" w:rsidRDefault="00C2045F" w:rsidP="003416EA">
      <w:pPr>
        <w:pStyle w:val="MainText"/>
        <w:numPr>
          <w:ilvl w:val="0"/>
          <w:numId w:val="34"/>
        </w:numPr>
        <w:spacing w:beforeLines="80" w:before="192" w:afterLines="80" w:after="192"/>
        <w:rPr>
          <w:rFonts w:ascii="Calibri" w:hAnsi="Calibri"/>
          <w:color w:val="000000" w:themeColor="text1"/>
          <w:szCs w:val="22"/>
          <w:lang w:eastAsia="en-GB"/>
        </w:rPr>
      </w:pPr>
      <w:r w:rsidRPr="003F48BD">
        <w:rPr>
          <w:rFonts w:cs="Arial"/>
          <w:color w:val="000000" w:themeColor="text1"/>
          <w:szCs w:val="22"/>
        </w:rPr>
        <w:t>“C</w:t>
      </w:r>
      <w:r w:rsidR="00423747" w:rsidRPr="003F48BD">
        <w:rPr>
          <w:color w:val="000000" w:themeColor="text1"/>
          <w:szCs w:val="22"/>
        </w:rPr>
        <w:t>hange of auditors</w:t>
      </w:r>
      <w:r w:rsidRPr="003F48BD">
        <w:rPr>
          <w:color w:val="000000" w:themeColor="text1"/>
          <w:szCs w:val="22"/>
        </w:rPr>
        <w:t>” is now highlighted as a Notifiable Event</w:t>
      </w:r>
      <w:r w:rsidR="003F48BD" w:rsidRPr="003F48BD">
        <w:rPr>
          <w:color w:val="000000" w:themeColor="text1"/>
          <w:szCs w:val="22"/>
        </w:rPr>
        <w:t xml:space="preserve"> for all RSLs, not just those who are systemically important.</w:t>
      </w:r>
    </w:p>
    <w:p w14:paraId="761DBA28" w14:textId="3FE4EBE1" w:rsidR="00C80A05" w:rsidRDefault="00C80A05" w:rsidP="003416EA">
      <w:pPr>
        <w:pStyle w:val="MainText"/>
        <w:numPr>
          <w:ilvl w:val="0"/>
          <w:numId w:val="7"/>
        </w:numPr>
        <w:spacing w:beforeLines="80" w:before="192" w:afterLines="80" w:after="192" w:line="280" w:lineRule="atLeast"/>
        <w:rPr>
          <w:rFonts w:cs="Arial"/>
          <w:b/>
          <w:szCs w:val="22"/>
        </w:rPr>
      </w:pPr>
      <w:r>
        <w:rPr>
          <w:rFonts w:cs="Arial"/>
          <w:b/>
          <w:szCs w:val="22"/>
        </w:rPr>
        <w:lastRenderedPageBreak/>
        <w:t>Tenant Consultation and Approval</w:t>
      </w:r>
    </w:p>
    <w:p w14:paraId="6D7B874A" w14:textId="293955C8" w:rsidR="001A3088" w:rsidRDefault="00E83DA4" w:rsidP="003416EA">
      <w:pPr>
        <w:pStyle w:val="MainText"/>
        <w:spacing w:beforeLines="80" w:before="192" w:afterLines="80" w:after="192" w:line="280" w:lineRule="atLeast"/>
        <w:rPr>
          <w:rStyle w:val="Hyperlink"/>
          <w:rFonts w:cs="Arial"/>
          <w:szCs w:val="22"/>
        </w:rPr>
      </w:pPr>
      <w:r>
        <w:t xml:space="preserve">Changes have been made to SHR guidance on </w:t>
      </w:r>
      <w:hyperlink r:id="rId17" w:history="1">
        <w:r w:rsidR="00A90FDC">
          <w:rPr>
            <w:rStyle w:val="Hyperlink"/>
            <w:rFonts w:cs="Arial"/>
            <w:szCs w:val="22"/>
          </w:rPr>
          <w:t>Tenant Consultation and Approval</w:t>
        </w:r>
      </w:hyperlink>
    </w:p>
    <w:p w14:paraId="0CD07350" w14:textId="133F19F0" w:rsidR="00E83DA4" w:rsidRPr="00E83DA4" w:rsidRDefault="00D7597A" w:rsidP="003416EA">
      <w:pPr>
        <w:pStyle w:val="MainText"/>
        <w:spacing w:beforeLines="80" w:before="192" w:afterLines="80" w:after="192" w:line="280" w:lineRule="atLeast"/>
        <w:rPr>
          <w:rFonts w:cs="Arial"/>
          <w:color w:val="000000" w:themeColor="text1"/>
          <w:szCs w:val="22"/>
        </w:rPr>
      </w:pPr>
      <w:r>
        <w:rPr>
          <w:rFonts w:cs="Arial"/>
          <w:color w:val="000000" w:themeColor="text1"/>
          <w:szCs w:val="22"/>
        </w:rPr>
        <w:t>These are largely to reflect the removal of the SHR consent regime, and the Housing (Amendment) (Scotland) Act 2019.</w:t>
      </w:r>
    </w:p>
    <w:p w14:paraId="37021E57" w14:textId="77777777" w:rsidR="00A90FDC" w:rsidRDefault="00A90FDC" w:rsidP="003416EA">
      <w:pPr>
        <w:pStyle w:val="MainText"/>
        <w:spacing w:beforeLines="80" w:before="192" w:afterLines="80" w:after="192" w:line="280" w:lineRule="atLeast"/>
        <w:rPr>
          <w:rFonts w:cs="Arial"/>
          <w:szCs w:val="22"/>
        </w:rPr>
      </w:pPr>
    </w:p>
    <w:p w14:paraId="6752BE34" w14:textId="230077CE" w:rsidR="00A90FDC" w:rsidRDefault="00BB5F7E" w:rsidP="003416EA">
      <w:pPr>
        <w:pStyle w:val="MainText"/>
        <w:numPr>
          <w:ilvl w:val="0"/>
          <w:numId w:val="7"/>
        </w:numPr>
        <w:spacing w:beforeLines="80" w:before="192" w:afterLines="80" w:after="192" w:line="280" w:lineRule="atLeast"/>
        <w:rPr>
          <w:rFonts w:cs="Arial"/>
          <w:b/>
          <w:szCs w:val="22"/>
        </w:rPr>
      </w:pPr>
      <w:r w:rsidRPr="00BB5F7E">
        <w:rPr>
          <w:rFonts w:cs="Arial"/>
          <w:b/>
          <w:szCs w:val="22"/>
        </w:rPr>
        <w:t>Financial Requirements</w:t>
      </w:r>
    </w:p>
    <w:p w14:paraId="6400CF8F" w14:textId="53FDE2AB" w:rsidR="00F47754" w:rsidRPr="00F47754" w:rsidRDefault="00F47754" w:rsidP="003416EA">
      <w:pPr>
        <w:pStyle w:val="MainText"/>
        <w:spacing w:beforeLines="80" w:before="192" w:afterLines="80" w:after="192" w:line="280" w:lineRule="atLeast"/>
        <w:rPr>
          <w:rFonts w:cs="Arial"/>
          <w:szCs w:val="22"/>
        </w:rPr>
      </w:pPr>
      <w:r>
        <w:rPr>
          <w:rFonts w:cs="Arial"/>
          <w:szCs w:val="22"/>
        </w:rPr>
        <w:t>The following Statutory Guidance is included within the framework in relation to financial requirements:</w:t>
      </w:r>
    </w:p>
    <w:p w14:paraId="6C57BF7B" w14:textId="77777777" w:rsidR="00BB5F7E" w:rsidRDefault="003416EA" w:rsidP="003416EA">
      <w:pPr>
        <w:pStyle w:val="MainText"/>
        <w:numPr>
          <w:ilvl w:val="0"/>
          <w:numId w:val="26"/>
        </w:numPr>
        <w:spacing w:beforeLines="80" w:before="192" w:afterLines="80" w:after="192" w:line="280" w:lineRule="atLeast"/>
        <w:rPr>
          <w:rFonts w:cs="Arial"/>
          <w:szCs w:val="22"/>
        </w:rPr>
      </w:pPr>
      <w:hyperlink r:id="rId18" w:history="1">
        <w:r w:rsidR="00BB5F7E">
          <w:rPr>
            <w:rStyle w:val="Hyperlink"/>
            <w:rFonts w:cs="Arial"/>
            <w:szCs w:val="22"/>
          </w:rPr>
          <w:t>Determination of Accounting Requirements</w:t>
        </w:r>
      </w:hyperlink>
    </w:p>
    <w:p w14:paraId="7D59D5C7" w14:textId="77777777" w:rsidR="00BB5F7E" w:rsidRDefault="003416EA" w:rsidP="003416EA">
      <w:pPr>
        <w:pStyle w:val="MainText"/>
        <w:numPr>
          <w:ilvl w:val="0"/>
          <w:numId w:val="26"/>
        </w:numPr>
        <w:spacing w:beforeLines="80" w:before="192" w:afterLines="80" w:after="192" w:line="280" w:lineRule="atLeast"/>
        <w:rPr>
          <w:rFonts w:cs="Arial"/>
          <w:szCs w:val="22"/>
        </w:rPr>
      </w:pPr>
      <w:hyperlink r:id="rId19" w:history="1">
        <w:r w:rsidR="00BB5F7E">
          <w:rPr>
            <w:rStyle w:val="Hyperlink"/>
            <w:rFonts w:cs="Arial"/>
            <w:szCs w:val="22"/>
          </w:rPr>
          <w:t>Preparation of Financial Statements</w:t>
        </w:r>
      </w:hyperlink>
    </w:p>
    <w:p w14:paraId="7A6B3C7C" w14:textId="77777777" w:rsidR="00BB5F7E" w:rsidRDefault="003416EA" w:rsidP="003416EA">
      <w:pPr>
        <w:pStyle w:val="MainText"/>
        <w:numPr>
          <w:ilvl w:val="0"/>
          <w:numId w:val="26"/>
        </w:numPr>
        <w:spacing w:beforeLines="80" w:before="192" w:afterLines="80" w:after="192" w:line="280" w:lineRule="atLeast"/>
        <w:rPr>
          <w:rFonts w:cs="Arial"/>
          <w:szCs w:val="22"/>
        </w:rPr>
      </w:pPr>
      <w:hyperlink r:id="rId20" w:history="1">
        <w:r w:rsidR="00BB5F7E">
          <w:rPr>
            <w:rStyle w:val="Hyperlink"/>
            <w:rFonts w:cs="Arial"/>
            <w:szCs w:val="22"/>
          </w:rPr>
          <w:t>Financial Viability of RSLs</w:t>
        </w:r>
      </w:hyperlink>
    </w:p>
    <w:p w14:paraId="7EFC515C" w14:textId="77777777" w:rsidR="008E715C" w:rsidRDefault="003416EA" w:rsidP="003416EA">
      <w:pPr>
        <w:pStyle w:val="MainText"/>
        <w:numPr>
          <w:ilvl w:val="0"/>
          <w:numId w:val="26"/>
        </w:numPr>
        <w:spacing w:beforeLines="80" w:before="192" w:afterLines="80" w:after="192" w:line="280" w:lineRule="atLeast"/>
        <w:rPr>
          <w:rFonts w:cs="Arial"/>
          <w:b/>
          <w:szCs w:val="22"/>
        </w:rPr>
      </w:pPr>
      <w:hyperlink r:id="rId21" w:history="1">
        <w:r w:rsidR="008E715C">
          <w:rPr>
            <w:rStyle w:val="Hyperlink"/>
            <w:rFonts w:cs="Arial"/>
            <w:szCs w:val="22"/>
          </w:rPr>
          <w:t>Section 72: Reporting Information of Material Significance</w:t>
        </w:r>
      </w:hyperlink>
    </w:p>
    <w:p w14:paraId="49C6C625" w14:textId="77777777" w:rsidR="00D7597A" w:rsidRPr="00D7597A" w:rsidRDefault="00D7597A" w:rsidP="003416EA">
      <w:pPr>
        <w:spacing w:before="100" w:beforeAutospacing="1" w:after="100" w:afterAutospacing="1" w:line="240" w:lineRule="auto"/>
        <w:rPr>
          <w:rFonts w:cs="Arial"/>
          <w:color w:val="000000" w:themeColor="text1"/>
        </w:rPr>
      </w:pPr>
      <w:r w:rsidRPr="00D7597A">
        <w:rPr>
          <w:rFonts w:cs="Arial"/>
          <w:color w:val="000000" w:themeColor="text1"/>
        </w:rPr>
        <w:t>The following changes are noted:</w:t>
      </w:r>
    </w:p>
    <w:p w14:paraId="30CA416A" w14:textId="0FF469BD" w:rsidR="00511CAE" w:rsidRPr="00D7597A" w:rsidRDefault="00D7597A" w:rsidP="003416EA">
      <w:pPr>
        <w:pStyle w:val="ListParagraph"/>
        <w:numPr>
          <w:ilvl w:val="0"/>
          <w:numId w:val="35"/>
        </w:numPr>
        <w:spacing w:before="100" w:beforeAutospacing="1" w:after="100" w:afterAutospacing="1" w:line="240" w:lineRule="auto"/>
        <w:rPr>
          <w:rFonts w:cs="Arial"/>
          <w:color w:val="000000" w:themeColor="text1"/>
        </w:rPr>
      </w:pPr>
      <w:r w:rsidRPr="00D7597A">
        <w:rPr>
          <w:rFonts w:cs="Arial"/>
          <w:color w:val="000000" w:themeColor="text1"/>
        </w:rPr>
        <w:t>All organisations</w:t>
      </w:r>
      <w:r w:rsidR="00511CAE" w:rsidRPr="00D7597A">
        <w:rPr>
          <w:rFonts w:cs="Arial"/>
          <w:color w:val="000000" w:themeColor="text1"/>
        </w:rPr>
        <w:t xml:space="preserve"> </w:t>
      </w:r>
      <w:r w:rsidRPr="00D7597A">
        <w:rPr>
          <w:rFonts w:cs="Arial"/>
          <w:color w:val="000000" w:themeColor="text1"/>
        </w:rPr>
        <w:t xml:space="preserve">now must submit five year financial projections.  Previously organisations </w:t>
      </w:r>
      <w:r w:rsidR="00511CAE" w:rsidRPr="00D7597A">
        <w:rPr>
          <w:rFonts w:cs="Arial"/>
          <w:color w:val="000000" w:themeColor="text1"/>
        </w:rPr>
        <w:t>with fewer than 250 unit</w:t>
      </w:r>
      <w:r w:rsidRPr="00D7597A">
        <w:rPr>
          <w:rFonts w:cs="Arial"/>
          <w:color w:val="000000" w:themeColor="text1"/>
        </w:rPr>
        <w:t>s who are not developing or Abbeyfield Societies did not need to submit these.</w:t>
      </w:r>
    </w:p>
    <w:p w14:paraId="0F927F15" w14:textId="6F554C82" w:rsidR="00D7597A" w:rsidRPr="00D7597A" w:rsidRDefault="00D7597A" w:rsidP="003416EA">
      <w:pPr>
        <w:pStyle w:val="ListParagraph"/>
        <w:spacing w:before="100" w:beforeAutospacing="1" w:after="100" w:afterAutospacing="1" w:line="240" w:lineRule="auto"/>
        <w:rPr>
          <w:rFonts w:cs="Arial"/>
          <w:color w:val="FF0000"/>
        </w:rPr>
      </w:pPr>
    </w:p>
    <w:p w14:paraId="4F94497B" w14:textId="7C00B3E9" w:rsidR="001F341F" w:rsidRPr="00953F06" w:rsidRDefault="00C16860" w:rsidP="003416EA">
      <w:pPr>
        <w:pStyle w:val="ListParagraph"/>
        <w:numPr>
          <w:ilvl w:val="0"/>
          <w:numId w:val="35"/>
        </w:numPr>
        <w:spacing w:before="100" w:beforeAutospacing="1" w:after="100" w:afterAutospacing="1" w:line="240" w:lineRule="auto"/>
        <w:rPr>
          <w:rFonts w:cs="Arial"/>
          <w:color w:val="000000" w:themeColor="text1"/>
        </w:rPr>
      </w:pPr>
      <w:r w:rsidRPr="00953F06">
        <w:rPr>
          <w:rFonts w:cs="Arial"/>
          <w:color w:val="000000" w:themeColor="text1"/>
        </w:rPr>
        <w:t>SHR will also not make proposed changes to the submission date for Five Year Financial Projections until 2020.</w:t>
      </w:r>
      <w:r w:rsidR="00D7597A" w:rsidRPr="00953F06">
        <w:rPr>
          <w:rFonts w:cs="Arial"/>
          <w:color w:val="000000" w:themeColor="text1"/>
        </w:rPr>
        <w:t xml:space="preserve">  </w:t>
      </w:r>
      <w:r w:rsidR="00D7597A" w:rsidRPr="00953F06">
        <w:rPr>
          <w:color w:val="000000" w:themeColor="text1"/>
        </w:rPr>
        <w:t>At that point</w:t>
      </w:r>
      <w:r w:rsidR="003F7614" w:rsidRPr="00953F06">
        <w:rPr>
          <w:color w:val="000000" w:themeColor="text1"/>
        </w:rPr>
        <w:t xml:space="preserve"> the submission date for the Five Year Financial Projections (FYFP) submission </w:t>
      </w:r>
      <w:r w:rsidR="00D7597A" w:rsidRPr="00953F06">
        <w:rPr>
          <w:color w:val="000000" w:themeColor="text1"/>
        </w:rPr>
        <w:t xml:space="preserve">will move </w:t>
      </w:r>
      <w:r w:rsidR="003F7614" w:rsidRPr="00953F06">
        <w:rPr>
          <w:color w:val="000000" w:themeColor="text1"/>
        </w:rPr>
        <w:t xml:space="preserve">to the end of May </w:t>
      </w:r>
      <w:r w:rsidR="00D7597A" w:rsidRPr="00953F06">
        <w:rPr>
          <w:color w:val="000000" w:themeColor="text1"/>
        </w:rPr>
        <w:t>as opposed to</w:t>
      </w:r>
      <w:r w:rsidR="003F7614" w:rsidRPr="00953F06">
        <w:rPr>
          <w:color w:val="000000" w:themeColor="text1"/>
        </w:rPr>
        <w:t xml:space="preserve"> the end of June. </w:t>
      </w:r>
      <w:r w:rsidR="00D7597A" w:rsidRPr="00953F06">
        <w:rPr>
          <w:color w:val="000000" w:themeColor="text1"/>
        </w:rPr>
        <w:t>We had highlighted in our</w:t>
      </w:r>
      <w:r w:rsidR="003F7614" w:rsidRPr="00953F06">
        <w:rPr>
          <w:color w:val="000000" w:themeColor="text1"/>
        </w:rPr>
        <w:t xml:space="preserve"> </w:t>
      </w:r>
      <w:r w:rsidR="00D7597A" w:rsidRPr="00953F06">
        <w:rPr>
          <w:color w:val="000000" w:themeColor="text1"/>
        </w:rPr>
        <w:t xml:space="preserve">response that this </w:t>
      </w:r>
      <w:r w:rsidR="003F7614" w:rsidRPr="00953F06">
        <w:rPr>
          <w:color w:val="000000" w:themeColor="text1"/>
        </w:rPr>
        <w:t xml:space="preserve">would put pressure on audit and finance resources at a busy time. </w:t>
      </w:r>
      <w:r w:rsidR="00D7597A" w:rsidRPr="00953F06">
        <w:rPr>
          <w:color w:val="000000" w:themeColor="text1"/>
        </w:rPr>
        <w:t>SHR stated that t</w:t>
      </w:r>
      <w:r w:rsidR="003F7614" w:rsidRPr="00953F06">
        <w:rPr>
          <w:color w:val="000000" w:themeColor="text1"/>
        </w:rPr>
        <w:t xml:space="preserve">he FYFPs should be based on outturn figures, and do not require to be based on audited figures; </w:t>
      </w:r>
      <w:r w:rsidR="00D7597A" w:rsidRPr="00953F06">
        <w:rPr>
          <w:color w:val="000000" w:themeColor="text1"/>
        </w:rPr>
        <w:t>and that this might make</w:t>
      </w:r>
      <w:r w:rsidR="003F7614" w:rsidRPr="00953F06">
        <w:rPr>
          <w:color w:val="000000" w:themeColor="text1"/>
        </w:rPr>
        <w:t xml:space="preserve"> a May submission more straightforward. </w:t>
      </w:r>
      <w:r w:rsidR="00D7597A" w:rsidRPr="00953F06">
        <w:rPr>
          <w:color w:val="000000" w:themeColor="text1"/>
        </w:rPr>
        <w:t>Whilst SFHA welcomes the delay in the change taking effect, we will continue to liaise with our Finance Forums about the impact that this will have in practice</w:t>
      </w:r>
      <w:r w:rsidR="00953F06">
        <w:rPr>
          <w:color w:val="000000" w:themeColor="text1"/>
        </w:rPr>
        <w:t xml:space="preserve"> and feed this back to the SHR.</w:t>
      </w:r>
    </w:p>
    <w:p w14:paraId="13E0D3D1" w14:textId="6FE2FAAE" w:rsidR="00BB5F7E" w:rsidRDefault="008E715C" w:rsidP="003416EA">
      <w:pPr>
        <w:pStyle w:val="MainText"/>
        <w:numPr>
          <w:ilvl w:val="0"/>
          <w:numId w:val="7"/>
        </w:numPr>
        <w:spacing w:beforeLines="80" w:before="192" w:afterLines="80" w:after="192" w:line="280" w:lineRule="atLeast"/>
        <w:rPr>
          <w:rFonts w:cs="Arial"/>
          <w:b/>
          <w:szCs w:val="22"/>
        </w:rPr>
      </w:pPr>
      <w:r>
        <w:rPr>
          <w:rFonts w:cs="Arial"/>
          <w:b/>
          <w:szCs w:val="22"/>
        </w:rPr>
        <w:t>Other U</w:t>
      </w:r>
      <w:r w:rsidR="00BB5F7E" w:rsidRPr="00BB5F7E">
        <w:rPr>
          <w:rFonts w:cs="Arial"/>
          <w:b/>
          <w:szCs w:val="22"/>
        </w:rPr>
        <w:t>nchanged Statutory Guidance</w:t>
      </w:r>
    </w:p>
    <w:p w14:paraId="332ABCA9" w14:textId="77777777" w:rsidR="008712FF" w:rsidRPr="008712FF" w:rsidRDefault="008712FF" w:rsidP="003416EA">
      <w:pPr>
        <w:pStyle w:val="MainText"/>
        <w:spacing w:beforeLines="80" w:before="192" w:afterLines="80" w:after="192" w:line="280" w:lineRule="atLeast"/>
        <w:rPr>
          <w:rFonts w:cs="Arial"/>
          <w:szCs w:val="22"/>
        </w:rPr>
      </w:pPr>
      <w:r>
        <w:rPr>
          <w:rFonts w:cs="Arial"/>
          <w:szCs w:val="22"/>
        </w:rPr>
        <w:t>The following documents all remain largely unchanged:</w:t>
      </w:r>
    </w:p>
    <w:p w14:paraId="09948108" w14:textId="77777777" w:rsidR="00BB5F7E" w:rsidRDefault="003416EA" w:rsidP="003416EA">
      <w:pPr>
        <w:pStyle w:val="MainText"/>
        <w:numPr>
          <w:ilvl w:val="0"/>
          <w:numId w:val="22"/>
        </w:numPr>
        <w:spacing w:beforeLines="80" w:before="192" w:afterLines="80" w:after="192" w:line="280" w:lineRule="atLeast"/>
        <w:rPr>
          <w:rFonts w:cs="Arial"/>
          <w:szCs w:val="22"/>
        </w:rPr>
      </w:pPr>
      <w:hyperlink r:id="rId22" w:history="1">
        <w:r w:rsidR="00BB5F7E">
          <w:rPr>
            <w:rStyle w:val="Hyperlink"/>
            <w:rFonts w:cs="Arial"/>
            <w:szCs w:val="22"/>
          </w:rPr>
          <w:t>Consultation Where Regulator is Directing a Transfer of Assets</w:t>
        </w:r>
      </w:hyperlink>
    </w:p>
    <w:p w14:paraId="2126B705" w14:textId="77777777" w:rsidR="00BB5F7E" w:rsidRDefault="003416EA" w:rsidP="003416EA">
      <w:pPr>
        <w:pStyle w:val="MainText"/>
        <w:numPr>
          <w:ilvl w:val="0"/>
          <w:numId w:val="22"/>
        </w:numPr>
        <w:spacing w:beforeLines="80" w:before="192" w:afterLines="80" w:after="192" w:line="280" w:lineRule="atLeast"/>
        <w:rPr>
          <w:rFonts w:cs="Arial"/>
          <w:szCs w:val="22"/>
        </w:rPr>
      </w:pPr>
      <w:hyperlink r:id="rId23" w:history="1">
        <w:r w:rsidR="00BB5F7E">
          <w:rPr>
            <w:rStyle w:val="Hyperlink"/>
            <w:rFonts w:cs="Arial"/>
            <w:szCs w:val="22"/>
          </w:rPr>
          <w:t>Determination of what is meant by a step to enforce a security over an RSL's Land</w:t>
        </w:r>
      </w:hyperlink>
    </w:p>
    <w:p w14:paraId="65480D9C" w14:textId="77777777" w:rsidR="00BB5F7E" w:rsidRDefault="003416EA" w:rsidP="003416EA">
      <w:pPr>
        <w:pStyle w:val="MainText"/>
        <w:numPr>
          <w:ilvl w:val="0"/>
          <w:numId w:val="22"/>
        </w:numPr>
        <w:spacing w:beforeLines="80" w:before="192" w:afterLines="80" w:after="192" w:line="280" w:lineRule="atLeast"/>
        <w:rPr>
          <w:rFonts w:cs="Arial"/>
          <w:szCs w:val="22"/>
        </w:rPr>
      </w:pPr>
      <w:hyperlink r:id="rId24" w:history="1">
        <w:r w:rsidR="00BB5F7E">
          <w:rPr>
            <w:rStyle w:val="Hyperlink"/>
            <w:rFonts w:cs="Arial"/>
            <w:szCs w:val="22"/>
          </w:rPr>
          <w:t>Group Structures and Constitutional Partnerships</w:t>
        </w:r>
      </w:hyperlink>
    </w:p>
    <w:p w14:paraId="183F0EDD" w14:textId="77777777" w:rsidR="00BB5F7E" w:rsidRDefault="003416EA" w:rsidP="003416EA">
      <w:pPr>
        <w:pStyle w:val="MainText"/>
        <w:numPr>
          <w:ilvl w:val="0"/>
          <w:numId w:val="22"/>
        </w:numPr>
        <w:spacing w:beforeLines="80" w:before="192" w:afterLines="80" w:after="192" w:line="280" w:lineRule="atLeast"/>
        <w:rPr>
          <w:rFonts w:cs="Arial"/>
          <w:szCs w:val="22"/>
        </w:rPr>
      </w:pPr>
      <w:hyperlink r:id="rId25" w:history="1">
        <w:r w:rsidR="00BB5F7E">
          <w:rPr>
            <w:rStyle w:val="Hyperlink"/>
            <w:rFonts w:cs="Arial"/>
            <w:szCs w:val="22"/>
          </w:rPr>
          <w:t>How to Request a Review of a Regulatory Decision</w:t>
        </w:r>
      </w:hyperlink>
    </w:p>
    <w:p w14:paraId="4629EB0F" w14:textId="77777777" w:rsidR="00BB5F7E" w:rsidRDefault="003416EA" w:rsidP="003416EA">
      <w:pPr>
        <w:pStyle w:val="MainText"/>
        <w:numPr>
          <w:ilvl w:val="0"/>
          <w:numId w:val="22"/>
        </w:numPr>
        <w:spacing w:beforeLines="80" w:before="192" w:afterLines="80" w:after="192" w:line="280" w:lineRule="atLeast"/>
        <w:rPr>
          <w:rFonts w:cs="Arial"/>
          <w:szCs w:val="22"/>
        </w:rPr>
      </w:pPr>
      <w:hyperlink r:id="rId26" w:history="1">
        <w:r w:rsidR="00BB5F7E">
          <w:rPr>
            <w:rStyle w:val="Hyperlink"/>
            <w:rFonts w:cs="Arial"/>
            <w:szCs w:val="22"/>
          </w:rPr>
          <w:t>How to Request an appeal of a Regulatory Decision</w:t>
        </w:r>
      </w:hyperlink>
    </w:p>
    <w:p w14:paraId="0A6DAF2C" w14:textId="4202D992" w:rsidR="003725CA" w:rsidRDefault="003725CA" w:rsidP="003416EA">
      <w:pPr>
        <w:pStyle w:val="MainText"/>
        <w:spacing w:beforeLines="80" w:before="192" w:afterLines="80" w:after="192" w:line="280" w:lineRule="atLeast"/>
        <w:rPr>
          <w:rFonts w:cs="Arial"/>
          <w:b/>
          <w:szCs w:val="22"/>
        </w:rPr>
      </w:pPr>
    </w:p>
    <w:p w14:paraId="02618D7C" w14:textId="77777777" w:rsidR="00953F06" w:rsidRDefault="00953F06" w:rsidP="003416EA">
      <w:pPr>
        <w:pStyle w:val="MainText"/>
        <w:spacing w:beforeLines="80" w:before="192" w:afterLines="80" w:after="192" w:line="280" w:lineRule="atLeast"/>
        <w:rPr>
          <w:rFonts w:cs="Arial"/>
          <w:b/>
          <w:szCs w:val="22"/>
        </w:rPr>
      </w:pPr>
    </w:p>
    <w:p w14:paraId="2CE5E355" w14:textId="2C36265B" w:rsidR="00483AF1" w:rsidRDefault="00511CAE" w:rsidP="003416EA">
      <w:pPr>
        <w:pStyle w:val="MainText"/>
        <w:numPr>
          <w:ilvl w:val="0"/>
          <w:numId w:val="7"/>
        </w:numPr>
        <w:spacing w:beforeLines="80" w:before="192" w:afterLines="80" w:after="192" w:line="280" w:lineRule="atLeast"/>
        <w:rPr>
          <w:rFonts w:cs="Arial"/>
          <w:b/>
          <w:szCs w:val="22"/>
        </w:rPr>
      </w:pPr>
      <w:r>
        <w:rPr>
          <w:rFonts w:cs="Arial"/>
          <w:b/>
          <w:szCs w:val="22"/>
        </w:rPr>
        <w:lastRenderedPageBreak/>
        <w:t>Approach to Intervention and Relationship with the Sector.</w:t>
      </w:r>
    </w:p>
    <w:p w14:paraId="188ADD50" w14:textId="54332051" w:rsidR="00511CAE" w:rsidRDefault="00C16860" w:rsidP="003416EA">
      <w:pPr>
        <w:pStyle w:val="MainText"/>
        <w:spacing w:beforeLines="80" w:before="192" w:afterLines="80" w:after="192" w:line="280" w:lineRule="atLeast"/>
      </w:pPr>
      <w:r>
        <w:t xml:space="preserve">SHR commits to further developing its “How We Work” documents to address points raised during the consultation about transparency in the process and cost of intervention; consistency of regulatory judgement; </w:t>
      </w:r>
      <w:r w:rsidR="00511CAE">
        <w:t xml:space="preserve">and </w:t>
      </w:r>
      <w:r>
        <w:t>how they select statutory appointees/managers.    These were probably the aspects that most time was spent on during the consultation, a</w:t>
      </w:r>
      <w:r w:rsidR="00953F06">
        <w:t>s well as</w:t>
      </w:r>
      <w:r>
        <w:t xml:space="preserve"> trying to find ways of developing the relationship between the SHR and the sector.   It is important that there is meaningful input from the sector in the development of </w:t>
      </w:r>
      <w:r w:rsidR="00511CAE">
        <w:t>this work.</w:t>
      </w:r>
    </w:p>
    <w:p w14:paraId="0A4EFE23" w14:textId="32773F8B" w:rsidR="00677762" w:rsidRDefault="00511CAE" w:rsidP="003416EA">
      <w:pPr>
        <w:pStyle w:val="MainText"/>
        <w:spacing w:beforeLines="80" w:before="192" w:afterLines="80" w:after="192" w:line="280" w:lineRule="atLeast"/>
        <w:rPr>
          <w:rFonts w:cs="Arial"/>
          <w:b/>
          <w:szCs w:val="22"/>
        </w:rPr>
      </w:pPr>
      <w:r>
        <w:t xml:space="preserve">SFHA is also seeking to establish ongoing mechanisms for the SHR to regularly meet with the sector and </w:t>
      </w:r>
      <w:r w:rsidR="00D55926">
        <w:t>is in discussions with the SHR and GWSF about methods to take this forward.</w:t>
      </w:r>
      <w:r>
        <w:t xml:space="preserve"> </w:t>
      </w:r>
    </w:p>
    <w:p w14:paraId="0D171606" w14:textId="2F979610" w:rsidR="00E41B82" w:rsidRDefault="00E41B82" w:rsidP="003416EA">
      <w:pPr>
        <w:pStyle w:val="MainText"/>
        <w:rPr>
          <w:rFonts w:cs="Arial"/>
          <w:b/>
        </w:rPr>
      </w:pPr>
    </w:p>
    <w:p w14:paraId="49B48D2A" w14:textId="77777777" w:rsidR="00E41B82" w:rsidRDefault="00E41B82" w:rsidP="003416EA">
      <w:pPr>
        <w:pStyle w:val="MainText"/>
        <w:rPr>
          <w:rFonts w:cs="Arial"/>
          <w:b/>
        </w:rPr>
      </w:pPr>
    </w:p>
    <w:p w14:paraId="2E986BCF" w14:textId="77777777" w:rsidR="00E41B82" w:rsidRDefault="00E41B82" w:rsidP="003416EA">
      <w:pPr>
        <w:pStyle w:val="MainText"/>
        <w:rPr>
          <w:rFonts w:cs="Arial"/>
          <w:b/>
        </w:rPr>
      </w:pPr>
    </w:p>
    <w:p w14:paraId="286CBF17" w14:textId="77777777" w:rsidR="00E41B82" w:rsidRPr="00E41B82" w:rsidRDefault="00E41B82" w:rsidP="003416EA">
      <w:pPr>
        <w:pStyle w:val="MainText"/>
        <w:rPr>
          <w:rFonts w:cs="Arial"/>
          <w:b/>
        </w:rPr>
      </w:pPr>
    </w:p>
    <w:p w14:paraId="6EEB957E" w14:textId="77777777" w:rsidR="00972666" w:rsidRDefault="00972666" w:rsidP="003416EA">
      <w:pPr>
        <w:pStyle w:val="MainText"/>
        <w:rPr>
          <w:rFonts w:cs="Arial"/>
          <w:b/>
        </w:rPr>
      </w:pPr>
    </w:p>
    <w:p w14:paraId="5ED2EF31" w14:textId="77777777" w:rsidR="00E41B82" w:rsidRPr="00E41B82" w:rsidRDefault="007860CE" w:rsidP="003416EA">
      <w:pPr>
        <w:pStyle w:val="MainText"/>
        <w:rPr>
          <w:rFonts w:cs="Arial"/>
        </w:rPr>
      </w:pPr>
      <w:r>
        <w:rPr>
          <w:rFonts w:cs="Arial"/>
        </w:rPr>
        <w:t>Alan Stokes</w:t>
      </w:r>
      <w:r w:rsidR="00E41B82" w:rsidRPr="00E41B82">
        <w:rPr>
          <w:rFonts w:cs="Arial"/>
        </w:rPr>
        <w:t xml:space="preserve"> </w:t>
      </w:r>
      <w:hyperlink r:id="rId27" w:history="1">
        <w:r w:rsidR="00972666" w:rsidRPr="00E41B82">
          <w:rPr>
            <w:rStyle w:val="Hyperlink"/>
            <w:rFonts w:cs="Arial"/>
          </w:rPr>
          <w:t>astokes@sfha.co.uk</w:t>
        </w:r>
      </w:hyperlink>
      <w:r w:rsidR="00972666" w:rsidRPr="00E41B82">
        <w:rPr>
          <w:rFonts w:cs="Arial"/>
        </w:rPr>
        <w:t xml:space="preserve">  </w:t>
      </w:r>
    </w:p>
    <w:p w14:paraId="5D2F24B5" w14:textId="77777777" w:rsidR="00972666" w:rsidRPr="00E41B82" w:rsidRDefault="004C6651" w:rsidP="003416EA">
      <w:pPr>
        <w:pStyle w:val="MainText"/>
        <w:rPr>
          <w:rFonts w:cs="Arial"/>
          <w:b/>
        </w:rPr>
      </w:pPr>
      <w:r>
        <w:rPr>
          <w:rFonts w:cs="Arial"/>
          <w:b/>
        </w:rPr>
        <w:t>March 2019</w:t>
      </w:r>
    </w:p>
    <w:p w14:paraId="74A021E5" w14:textId="77777777" w:rsidR="002D1EFA" w:rsidRDefault="002D1EFA" w:rsidP="003416EA">
      <w:pPr>
        <w:pStyle w:val="MainText"/>
        <w:rPr>
          <w:rFonts w:cs="Arial"/>
        </w:rPr>
      </w:pPr>
    </w:p>
    <w:bookmarkEnd w:id="0"/>
    <w:p w14:paraId="3E414ED8" w14:textId="77777777" w:rsidR="00F77705" w:rsidRPr="00620D05" w:rsidRDefault="00F77705" w:rsidP="003416EA">
      <w:pPr>
        <w:pStyle w:val="MainText"/>
        <w:rPr>
          <w:rFonts w:cs="Arial"/>
          <w:b/>
          <w:szCs w:val="22"/>
          <w:lang w:val="en"/>
        </w:rPr>
      </w:pPr>
    </w:p>
    <w:sectPr w:rsidR="00F77705" w:rsidRPr="00620D05" w:rsidSect="00542363">
      <w:headerReference w:type="default" r:id="rId28"/>
      <w:footerReference w:type="even" r:id="rId29"/>
      <w:footerReference w:type="default" r:id="rId30"/>
      <w:type w:val="continuous"/>
      <w:pgSz w:w="11906" w:h="16838" w:code="9"/>
      <w:pgMar w:top="238" w:right="1418" w:bottom="1418"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D1A0" w14:textId="77777777" w:rsidR="004F12D1" w:rsidRDefault="004F12D1">
      <w:r>
        <w:separator/>
      </w:r>
    </w:p>
  </w:endnote>
  <w:endnote w:type="continuationSeparator" w:id="0">
    <w:p w14:paraId="3B655767" w14:textId="77777777" w:rsidR="004F12D1" w:rsidRDefault="004F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346A" w14:textId="77777777" w:rsidR="004F12D1" w:rsidRDefault="004F12D1" w:rsidP="00E24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1AE48" w14:textId="77777777" w:rsidR="004F12D1" w:rsidRDefault="004F12D1" w:rsidP="00E31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42781954"/>
      <w:docPartObj>
        <w:docPartGallery w:val="Page Numbers (Bottom of Page)"/>
        <w:docPartUnique/>
      </w:docPartObj>
    </w:sdtPr>
    <w:sdtEndPr/>
    <w:sdtContent>
      <w:p w14:paraId="0F7FF74A" w14:textId="77777777" w:rsidR="004F12D1" w:rsidRDefault="004F12D1" w:rsidP="003A6D02">
        <w:pPr>
          <w:pStyle w:val="Footer"/>
        </w:pPr>
        <w:r>
          <w:rPr>
            <w:b/>
          </w:rPr>
          <w:t xml:space="preserve">                                                                                              </w:t>
        </w:r>
        <w:r>
          <w:fldChar w:fldCharType="begin"/>
        </w:r>
        <w:r>
          <w:instrText xml:space="preserve"> PAGE   \* MERGEFORMAT </w:instrText>
        </w:r>
        <w:r>
          <w:fldChar w:fldCharType="separate"/>
        </w:r>
        <w:r>
          <w:rPr>
            <w:noProof/>
          </w:rPr>
          <w:t>8</w:t>
        </w:r>
        <w:r>
          <w:rPr>
            <w:noProof/>
          </w:rPr>
          <w:fldChar w:fldCharType="end"/>
        </w:r>
        <w:r w:rsidRPr="003A6D02">
          <w:t xml:space="preserve"> </w:t>
        </w:r>
      </w:p>
      <w:p w14:paraId="3B3E94F2" w14:textId="77777777" w:rsidR="004F12D1" w:rsidRPr="003A6D02" w:rsidRDefault="003416EA">
        <w:pPr>
          <w:pStyle w:val="Footer"/>
          <w:jc w:val="center"/>
          <w:rPr>
            <w:b/>
          </w:rPr>
        </w:pPr>
      </w:p>
    </w:sdtContent>
  </w:sdt>
  <w:p w14:paraId="6AE4D131" w14:textId="77777777" w:rsidR="004F12D1" w:rsidRDefault="004F12D1" w:rsidP="009069D2">
    <w:pPr>
      <w:pStyle w:val="TableMai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DB52" w14:textId="77777777" w:rsidR="004F12D1" w:rsidRDefault="004F12D1">
      <w:r>
        <w:separator/>
      </w:r>
    </w:p>
  </w:footnote>
  <w:footnote w:type="continuationSeparator" w:id="0">
    <w:p w14:paraId="1A296309" w14:textId="77777777" w:rsidR="004F12D1" w:rsidRDefault="004F12D1">
      <w:r>
        <w:continuationSeparator/>
      </w:r>
    </w:p>
  </w:footnote>
  <w:footnote w:id="1">
    <w:p w14:paraId="5E3D3E90" w14:textId="77777777" w:rsidR="00B03BF0" w:rsidRDefault="00B03BF0">
      <w:pPr>
        <w:pStyle w:val="FootnoteText"/>
      </w:pPr>
      <w:r>
        <w:rPr>
          <w:rStyle w:val="FootnoteReference"/>
        </w:rPr>
        <w:footnoteRef/>
      </w:r>
      <w:r>
        <w:t xml:space="preserve"> SFHA (April 2018) Response to SHR Discussion Paper, available </w:t>
      </w:r>
      <w:hyperlink r:id="rId1" w:history="1">
        <w:r>
          <w:rPr>
            <w:rStyle w:val="Hyperlink"/>
            <w:rFonts w:cs="Arial"/>
            <w:szCs w:val="22"/>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C3A6" w14:textId="77777777" w:rsidR="004F12D1" w:rsidRDefault="004F12D1" w:rsidP="00C653E7">
    <w:r>
      <w:rPr>
        <w:noProof/>
        <w:lang w:eastAsia="en-GB"/>
      </w:rPr>
      <w:drawing>
        <wp:anchor distT="0" distB="0" distL="114300" distR="114300" simplePos="0" relativeHeight="251658240" behindDoc="0" locked="0" layoutInCell="1" allowOverlap="1" wp14:anchorId="02390F6F" wp14:editId="6211C19B">
          <wp:simplePos x="0" y="0"/>
          <wp:positionH relativeFrom="column">
            <wp:posOffset>4862195</wp:posOffset>
          </wp:positionH>
          <wp:positionV relativeFrom="paragraph">
            <wp:posOffset>-307975</wp:posOffset>
          </wp:positionV>
          <wp:extent cx="1371600"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A wee_logo.gif"/>
                  <pic:cNvPicPr/>
                </pic:nvPicPr>
                <pic:blipFill>
                  <a:blip r:embed="rId1">
                    <a:extLst>
                      <a:ext uri="{28A0092B-C50C-407E-A947-70E740481C1C}">
                        <a14:useLocalDpi xmlns:a14="http://schemas.microsoft.com/office/drawing/2010/main" val="0"/>
                      </a:ext>
                    </a:extLst>
                  </a:blip>
                  <a:stretch>
                    <a:fillRect/>
                  </a:stretch>
                </pic:blipFill>
                <pic:spPr>
                  <a:xfrm>
                    <a:off x="0" y="0"/>
                    <a:ext cx="1371600" cy="8839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8075AAB" w14:textId="77777777" w:rsidR="004F12D1" w:rsidRDefault="004F12D1" w:rsidP="00BD7404">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AE3560"/>
    <w:lvl w:ilvl="0">
      <w:start w:val="1"/>
      <w:numFmt w:val="bullet"/>
      <w:pStyle w:val="ListBullet"/>
      <w:lvlText w:val=""/>
      <w:lvlJc w:val="left"/>
      <w:pPr>
        <w:tabs>
          <w:tab w:val="num" w:pos="567"/>
        </w:tabs>
        <w:ind w:left="567" w:hanging="567"/>
      </w:pPr>
      <w:rPr>
        <w:rFonts w:ascii="Symbol" w:hAnsi="Symbol" w:hint="default"/>
        <w:color w:val="7CA295"/>
        <w:sz w:val="22"/>
        <w:szCs w:val="22"/>
      </w:rPr>
    </w:lvl>
  </w:abstractNum>
  <w:abstractNum w:abstractNumId="1" w15:restartNumberingAfterBreak="0">
    <w:nsid w:val="02B220CD"/>
    <w:multiLevelType w:val="multilevel"/>
    <w:tmpl w:val="10362E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858F3"/>
    <w:multiLevelType w:val="hybridMultilevel"/>
    <w:tmpl w:val="3BA82698"/>
    <w:lvl w:ilvl="0" w:tplc="02B43704">
      <w:start w:val="1"/>
      <w:numFmt w:val="decimal"/>
      <w:pStyle w:val="Heading1"/>
      <w:lvlText w:val="%1."/>
      <w:lvlJc w:val="left"/>
      <w:pPr>
        <w:tabs>
          <w:tab w:val="num" w:pos="567"/>
        </w:tabs>
        <w:ind w:left="567" w:hanging="567"/>
      </w:pPr>
      <w:rPr>
        <w:rFonts w:ascii="Arial" w:hAnsi="Arial" w:hint="default"/>
        <w:b/>
        <w:i w:val="0"/>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86196"/>
    <w:multiLevelType w:val="hybridMultilevel"/>
    <w:tmpl w:val="0E18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7C2A"/>
    <w:multiLevelType w:val="hybridMultilevel"/>
    <w:tmpl w:val="4ACC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E02E8"/>
    <w:multiLevelType w:val="multilevel"/>
    <w:tmpl w:val="6CE27C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D1EC5"/>
    <w:multiLevelType w:val="hybridMultilevel"/>
    <w:tmpl w:val="6152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5945"/>
    <w:multiLevelType w:val="hybridMultilevel"/>
    <w:tmpl w:val="0C4C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81D2B"/>
    <w:multiLevelType w:val="hybridMultilevel"/>
    <w:tmpl w:val="80CC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F3B20"/>
    <w:multiLevelType w:val="hybridMultilevel"/>
    <w:tmpl w:val="3E62C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C84E65"/>
    <w:multiLevelType w:val="hybridMultilevel"/>
    <w:tmpl w:val="275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A3C12"/>
    <w:multiLevelType w:val="multilevel"/>
    <w:tmpl w:val="3BC4186C"/>
    <w:lvl w:ilvl="0">
      <w:start w:val="1"/>
      <w:numFmt w:val="decimal"/>
      <w:pStyle w:val="NumberList"/>
      <w:lvlText w:val="%1."/>
      <w:lvlJc w:val="left"/>
      <w:pPr>
        <w:tabs>
          <w:tab w:val="num" w:pos="360"/>
        </w:tabs>
        <w:ind w:left="360" w:hanging="360"/>
      </w:pPr>
      <w:rPr>
        <w:rFonts w:hint="default"/>
        <w:b w:val="0"/>
        <w:i w:val="0"/>
        <w:color w:val="auto"/>
        <w:sz w:val="20"/>
        <w:szCs w:val="20"/>
      </w:rPr>
    </w:lvl>
    <w:lvl w:ilvl="1">
      <w:start w:val="1"/>
      <w:numFmt w:val="decimal"/>
      <w:lvlText w:val="%1.%2."/>
      <w:lvlJc w:val="left"/>
      <w:pPr>
        <w:tabs>
          <w:tab w:val="num" w:pos="792"/>
        </w:tabs>
        <w:ind w:left="792" w:hanging="432"/>
      </w:pPr>
      <w:rPr>
        <w:rFonts w:hint="default"/>
        <w:b w:val="0"/>
        <w:i w:val="0"/>
        <w:color w:val="auto"/>
        <w:sz w:val="20"/>
        <w:szCs w:val="20"/>
      </w:rPr>
    </w:lvl>
    <w:lvl w:ilvl="2">
      <w:start w:val="1"/>
      <w:numFmt w:val="decimal"/>
      <w:lvlText w:val="%1.%2.%3."/>
      <w:lvlJc w:val="left"/>
      <w:pPr>
        <w:tabs>
          <w:tab w:val="num" w:pos="1440"/>
        </w:tabs>
        <w:ind w:left="1224" w:hanging="504"/>
      </w:pPr>
      <w:rPr>
        <w:rFonts w:hint="default"/>
        <w:b w:val="0"/>
        <w:i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454097"/>
    <w:multiLevelType w:val="multilevel"/>
    <w:tmpl w:val="3EF832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A33F33"/>
    <w:multiLevelType w:val="hybridMultilevel"/>
    <w:tmpl w:val="91A62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80015"/>
    <w:multiLevelType w:val="hybridMultilevel"/>
    <w:tmpl w:val="A716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8671F"/>
    <w:multiLevelType w:val="hybridMultilevel"/>
    <w:tmpl w:val="C91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63D06"/>
    <w:multiLevelType w:val="hybridMultilevel"/>
    <w:tmpl w:val="961E9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937DD"/>
    <w:multiLevelType w:val="hybridMultilevel"/>
    <w:tmpl w:val="BC7E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07F8"/>
    <w:multiLevelType w:val="hybridMultilevel"/>
    <w:tmpl w:val="A58E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D6210"/>
    <w:multiLevelType w:val="multilevel"/>
    <w:tmpl w:val="8D2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645DB"/>
    <w:multiLevelType w:val="multilevel"/>
    <w:tmpl w:val="50DA3E9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692EF1"/>
    <w:multiLevelType w:val="hybridMultilevel"/>
    <w:tmpl w:val="083E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D0BFD"/>
    <w:multiLevelType w:val="hybridMultilevel"/>
    <w:tmpl w:val="22B0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5502B"/>
    <w:multiLevelType w:val="multilevel"/>
    <w:tmpl w:val="878A4B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5D3E84"/>
    <w:multiLevelType w:val="hybridMultilevel"/>
    <w:tmpl w:val="3D4C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61127"/>
    <w:multiLevelType w:val="multilevel"/>
    <w:tmpl w:val="B5B0BE44"/>
    <w:lvl w:ilvl="0">
      <w:start w:val="1"/>
      <w:numFmt w:val="bullet"/>
      <w:pStyle w:val="BulletList"/>
      <w:lvlText w:val=""/>
      <w:lvlJc w:val="left"/>
      <w:pPr>
        <w:tabs>
          <w:tab w:val="num" w:pos="851"/>
        </w:tabs>
        <w:ind w:left="851" w:hanging="567"/>
      </w:pPr>
      <w:rPr>
        <w:rFonts w:ascii="Symbol" w:hAnsi="Symbol" w:hint="default"/>
        <w:color w:val="auto"/>
        <w:sz w:val="20"/>
        <w:szCs w:val="20"/>
      </w:rPr>
    </w:lvl>
    <w:lvl w:ilvl="1">
      <w:start w:val="1"/>
      <w:numFmt w:val="bullet"/>
      <w:lvlText w:val=""/>
      <w:lvlJc w:val="left"/>
      <w:pPr>
        <w:tabs>
          <w:tab w:val="num" w:pos="851"/>
        </w:tabs>
        <w:ind w:left="1418" w:hanging="567"/>
      </w:pPr>
      <w:rPr>
        <w:rFonts w:ascii="Symbol" w:hAnsi="Symbol" w:hint="default"/>
        <w:color w:val="001923"/>
        <w:sz w:val="24"/>
        <w:szCs w:val="24"/>
        <w:u w:val="none"/>
      </w:rPr>
    </w:lvl>
    <w:lvl w:ilvl="2">
      <w:start w:val="1"/>
      <w:numFmt w:val="bullet"/>
      <w:lvlText w:val=""/>
      <w:lvlJc w:val="left"/>
      <w:pPr>
        <w:tabs>
          <w:tab w:val="num" w:pos="1418"/>
        </w:tabs>
        <w:ind w:left="1985" w:hanging="567"/>
      </w:pPr>
      <w:rPr>
        <w:rFonts w:ascii="Symbol" w:hAnsi="Symbol" w:hint="default"/>
        <w:color w:val="001923"/>
        <w:sz w:val="24"/>
        <w:u w:val="none"/>
      </w:rPr>
    </w:lvl>
    <w:lvl w:ilvl="3">
      <w:start w:val="1"/>
      <w:numFmt w:val="none"/>
      <w:lvlText w:val=""/>
      <w:lvlJc w:val="left"/>
      <w:pPr>
        <w:tabs>
          <w:tab w:val="num" w:pos="1775"/>
        </w:tabs>
        <w:ind w:left="1415" w:firstLine="0"/>
      </w:pPr>
      <w:rPr>
        <w:rFonts w:hint="default"/>
      </w:rPr>
    </w:lvl>
    <w:lvl w:ilvl="4">
      <w:start w:val="1"/>
      <w:numFmt w:val="none"/>
      <w:lvlText w:val=""/>
      <w:lvlJc w:val="left"/>
      <w:pPr>
        <w:tabs>
          <w:tab w:val="num" w:pos="1775"/>
        </w:tabs>
        <w:ind w:left="1415" w:firstLine="0"/>
      </w:pPr>
      <w:rPr>
        <w:rFonts w:hint="default"/>
      </w:rPr>
    </w:lvl>
    <w:lvl w:ilvl="5">
      <w:start w:val="1"/>
      <w:numFmt w:val="none"/>
      <w:lvlText w:val=""/>
      <w:lvlJc w:val="left"/>
      <w:pPr>
        <w:tabs>
          <w:tab w:val="num" w:pos="1775"/>
        </w:tabs>
        <w:ind w:left="1415" w:firstLine="0"/>
      </w:pPr>
      <w:rPr>
        <w:rFonts w:hint="default"/>
      </w:rPr>
    </w:lvl>
    <w:lvl w:ilvl="6">
      <w:start w:val="1"/>
      <w:numFmt w:val="none"/>
      <w:lvlText w:val=""/>
      <w:lvlJc w:val="left"/>
      <w:pPr>
        <w:tabs>
          <w:tab w:val="num" w:pos="1775"/>
        </w:tabs>
        <w:ind w:left="1415" w:firstLine="0"/>
      </w:pPr>
      <w:rPr>
        <w:rFonts w:hint="default"/>
      </w:rPr>
    </w:lvl>
    <w:lvl w:ilvl="7">
      <w:start w:val="1"/>
      <w:numFmt w:val="none"/>
      <w:lvlText w:val=""/>
      <w:lvlJc w:val="left"/>
      <w:pPr>
        <w:tabs>
          <w:tab w:val="num" w:pos="1775"/>
        </w:tabs>
        <w:ind w:left="1415" w:firstLine="0"/>
      </w:pPr>
      <w:rPr>
        <w:rFonts w:hint="default"/>
      </w:rPr>
    </w:lvl>
    <w:lvl w:ilvl="8">
      <w:start w:val="1"/>
      <w:numFmt w:val="none"/>
      <w:lvlText w:val=""/>
      <w:lvlJc w:val="left"/>
      <w:pPr>
        <w:tabs>
          <w:tab w:val="num" w:pos="1775"/>
        </w:tabs>
        <w:ind w:left="1415" w:firstLine="0"/>
      </w:pPr>
      <w:rPr>
        <w:rFonts w:hint="default"/>
      </w:rPr>
    </w:lvl>
  </w:abstractNum>
  <w:abstractNum w:abstractNumId="26" w15:restartNumberingAfterBreak="0">
    <w:nsid w:val="573837A6"/>
    <w:multiLevelType w:val="hybridMultilevel"/>
    <w:tmpl w:val="2AA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B217E"/>
    <w:multiLevelType w:val="multilevel"/>
    <w:tmpl w:val="0B2CD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066D1"/>
    <w:multiLevelType w:val="hybridMultilevel"/>
    <w:tmpl w:val="DFA2F27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424A9"/>
    <w:multiLevelType w:val="hybridMultilevel"/>
    <w:tmpl w:val="B3B48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B357B"/>
    <w:multiLevelType w:val="hybridMultilevel"/>
    <w:tmpl w:val="109C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66F18"/>
    <w:multiLevelType w:val="hybridMultilevel"/>
    <w:tmpl w:val="57AE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112BD"/>
    <w:multiLevelType w:val="hybridMultilevel"/>
    <w:tmpl w:val="FDFE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E5279"/>
    <w:multiLevelType w:val="hybridMultilevel"/>
    <w:tmpl w:val="8024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32C36"/>
    <w:multiLevelType w:val="multilevel"/>
    <w:tmpl w:val="7A3A99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11"/>
  </w:num>
  <w:num w:numId="4">
    <w:abstractNumId w:val="0"/>
  </w:num>
  <w:num w:numId="5">
    <w:abstractNumId w:val="29"/>
  </w:num>
  <w:num w:numId="6">
    <w:abstractNumId w:val="14"/>
  </w:num>
  <w:num w:numId="7">
    <w:abstractNumId w:val="28"/>
  </w:num>
  <w:num w:numId="8">
    <w:abstractNumId w:val="18"/>
  </w:num>
  <w:num w:numId="9">
    <w:abstractNumId w:val="32"/>
  </w:num>
  <w:num w:numId="10">
    <w:abstractNumId w:val="7"/>
  </w:num>
  <w:num w:numId="11">
    <w:abstractNumId w:val="26"/>
  </w:num>
  <w:num w:numId="12">
    <w:abstractNumId w:val="3"/>
  </w:num>
  <w:num w:numId="13">
    <w:abstractNumId w:val="16"/>
  </w:num>
  <w:num w:numId="14">
    <w:abstractNumId w:val="22"/>
  </w:num>
  <w:num w:numId="15">
    <w:abstractNumId w:val="1"/>
  </w:num>
  <w:num w:numId="16">
    <w:abstractNumId w:val="23"/>
  </w:num>
  <w:num w:numId="17">
    <w:abstractNumId w:val="13"/>
  </w:num>
  <w:num w:numId="18">
    <w:abstractNumId w:val="21"/>
  </w:num>
  <w:num w:numId="19">
    <w:abstractNumId w:val="17"/>
  </w:num>
  <w:num w:numId="20">
    <w:abstractNumId w:val="24"/>
  </w:num>
  <w:num w:numId="21">
    <w:abstractNumId w:val="19"/>
  </w:num>
  <w:num w:numId="22">
    <w:abstractNumId w:val="31"/>
  </w:num>
  <w:num w:numId="23">
    <w:abstractNumId w:val="27"/>
  </w:num>
  <w:num w:numId="24">
    <w:abstractNumId w:val="5"/>
  </w:num>
  <w:num w:numId="25">
    <w:abstractNumId w:val="20"/>
  </w:num>
  <w:num w:numId="26">
    <w:abstractNumId w:val="6"/>
  </w:num>
  <w:num w:numId="27">
    <w:abstractNumId w:val="12"/>
  </w:num>
  <w:num w:numId="28">
    <w:abstractNumId w:val="15"/>
  </w:num>
  <w:num w:numId="29">
    <w:abstractNumId w:val="4"/>
  </w:num>
  <w:num w:numId="30">
    <w:abstractNumId w:val="9"/>
  </w:num>
  <w:num w:numId="31">
    <w:abstractNumId w:val="34"/>
  </w:num>
  <w:num w:numId="32">
    <w:abstractNumId w:val="10"/>
  </w:num>
  <w:num w:numId="33">
    <w:abstractNumId w:val="33"/>
  </w:num>
  <w:num w:numId="34">
    <w:abstractNumId w:val="8"/>
  </w:num>
  <w:num w:numId="3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7281" fillcolor="#88e3ff" strokecolor="#88e3ff">
      <v:fill color="#88e3ff"/>
      <v:stroke color="#88e3ff"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43"/>
    <w:rsid w:val="000033CB"/>
    <w:rsid w:val="00005968"/>
    <w:rsid w:val="000076D1"/>
    <w:rsid w:val="000079C3"/>
    <w:rsid w:val="00013865"/>
    <w:rsid w:val="00020905"/>
    <w:rsid w:val="00022416"/>
    <w:rsid w:val="0002442F"/>
    <w:rsid w:val="00025343"/>
    <w:rsid w:val="0002602B"/>
    <w:rsid w:val="0002711C"/>
    <w:rsid w:val="00036375"/>
    <w:rsid w:val="0003703B"/>
    <w:rsid w:val="000436D3"/>
    <w:rsid w:val="00047E6F"/>
    <w:rsid w:val="00050786"/>
    <w:rsid w:val="000533E4"/>
    <w:rsid w:val="00053A8B"/>
    <w:rsid w:val="00060BB6"/>
    <w:rsid w:val="000624AE"/>
    <w:rsid w:val="000664AE"/>
    <w:rsid w:val="0007026F"/>
    <w:rsid w:val="00076F71"/>
    <w:rsid w:val="00077D94"/>
    <w:rsid w:val="00081D7B"/>
    <w:rsid w:val="0008757F"/>
    <w:rsid w:val="000941FD"/>
    <w:rsid w:val="00094535"/>
    <w:rsid w:val="000A0077"/>
    <w:rsid w:val="000A4298"/>
    <w:rsid w:val="000A6E74"/>
    <w:rsid w:val="000B0E9B"/>
    <w:rsid w:val="000B29FA"/>
    <w:rsid w:val="000B4B08"/>
    <w:rsid w:val="000B5407"/>
    <w:rsid w:val="000B63B7"/>
    <w:rsid w:val="000C1355"/>
    <w:rsid w:val="000C454C"/>
    <w:rsid w:val="000C5868"/>
    <w:rsid w:val="000C68CD"/>
    <w:rsid w:val="000D265E"/>
    <w:rsid w:val="000D7EB5"/>
    <w:rsid w:val="000F6F05"/>
    <w:rsid w:val="000F7879"/>
    <w:rsid w:val="0010296E"/>
    <w:rsid w:val="00103B75"/>
    <w:rsid w:val="001044DD"/>
    <w:rsid w:val="00106C35"/>
    <w:rsid w:val="00106D0C"/>
    <w:rsid w:val="00111A9A"/>
    <w:rsid w:val="001169B8"/>
    <w:rsid w:val="00117E10"/>
    <w:rsid w:val="00121DAB"/>
    <w:rsid w:val="00122EE3"/>
    <w:rsid w:val="00123282"/>
    <w:rsid w:val="00124732"/>
    <w:rsid w:val="00137688"/>
    <w:rsid w:val="00140E5A"/>
    <w:rsid w:val="00142990"/>
    <w:rsid w:val="00145451"/>
    <w:rsid w:val="00147286"/>
    <w:rsid w:val="00152404"/>
    <w:rsid w:val="00153010"/>
    <w:rsid w:val="00156E02"/>
    <w:rsid w:val="00157984"/>
    <w:rsid w:val="00164847"/>
    <w:rsid w:val="00164E47"/>
    <w:rsid w:val="001704C2"/>
    <w:rsid w:val="00176943"/>
    <w:rsid w:val="00177E71"/>
    <w:rsid w:val="001836EC"/>
    <w:rsid w:val="00184718"/>
    <w:rsid w:val="001919A9"/>
    <w:rsid w:val="00193E2B"/>
    <w:rsid w:val="001A3088"/>
    <w:rsid w:val="001A3AA4"/>
    <w:rsid w:val="001A614A"/>
    <w:rsid w:val="001A67F2"/>
    <w:rsid w:val="001B063D"/>
    <w:rsid w:val="001B2091"/>
    <w:rsid w:val="001B4CDB"/>
    <w:rsid w:val="001B7448"/>
    <w:rsid w:val="001C05B8"/>
    <w:rsid w:val="001C67B2"/>
    <w:rsid w:val="001D438F"/>
    <w:rsid w:val="001E0D92"/>
    <w:rsid w:val="001E5AA4"/>
    <w:rsid w:val="001F341F"/>
    <w:rsid w:val="001F4EB6"/>
    <w:rsid w:val="001F6C42"/>
    <w:rsid w:val="001F7056"/>
    <w:rsid w:val="002065BD"/>
    <w:rsid w:val="0021035D"/>
    <w:rsid w:val="002108BE"/>
    <w:rsid w:val="002117CB"/>
    <w:rsid w:val="00211D01"/>
    <w:rsid w:val="002131D3"/>
    <w:rsid w:val="00217FB5"/>
    <w:rsid w:val="00222122"/>
    <w:rsid w:val="00222D89"/>
    <w:rsid w:val="00232BBF"/>
    <w:rsid w:val="0027100C"/>
    <w:rsid w:val="00281C5C"/>
    <w:rsid w:val="00283AC8"/>
    <w:rsid w:val="00286128"/>
    <w:rsid w:val="002902F6"/>
    <w:rsid w:val="00296604"/>
    <w:rsid w:val="002B264C"/>
    <w:rsid w:val="002B4680"/>
    <w:rsid w:val="002B67D8"/>
    <w:rsid w:val="002B704D"/>
    <w:rsid w:val="002C6A18"/>
    <w:rsid w:val="002C6E6D"/>
    <w:rsid w:val="002D1EFA"/>
    <w:rsid w:val="002D7E81"/>
    <w:rsid w:val="002E163E"/>
    <w:rsid w:val="003131ED"/>
    <w:rsid w:val="003144D4"/>
    <w:rsid w:val="00314BB9"/>
    <w:rsid w:val="003223F0"/>
    <w:rsid w:val="0033657F"/>
    <w:rsid w:val="003400CD"/>
    <w:rsid w:val="00341454"/>
    <w:rsid w:val="003416EA"/>
    <w:rsid w:val="0034237F"/>
    <w:rsid w:val="00342E7D"/>
    <w:rsid w:val="003463E4"/>
    <w:rsid w:val="0035181F"/>
    <w:rsid w:val="003518F8"/>
    <w:rsid w:val="00352C21"/>
    <w:rsid w:val="00352D24"/>
    <w:rsid w:val="00354C37"/>
    <w:rsid w:val="00356309"/>
    <w:rsid w:val="00357D50"/>
    <w:rsid w:val="0036125C"/>
    <w:rsid w:val="00367E2D"/>
    <w:rsid w:val="0037057E"/>
    <w:rsid w:val="00370B00"/>
    <w:rsid w:val="003725CA"/>
    <w:rsid w:val="003736B5"/>
    <w:rsid w:val="0038414C"/>
    <w:rsid w:val="00384F33"/>
    <w:rsid w:val="00385781"/>
    <w:rsid w:val="00387998"/>
    <w:rsid w:val="00396464"/>
    <w:rsid w:val="003A0790"/>
    <w:rsid w:val="003A3179"/>
    <w:rsid w:val="003A6D02"/>
    <w:rsid w:val="003B7CD0"/>
    <w:rsid w:val="003C0F89"/>
    <w:rsid w:val="003C5F82"/>
    <w:rsid w:val="003D3FA2"/>
    <w:rsid w:val="003F0D39"/>
    <w:rsid w:val="003F48BD"/>
    <w:rsid w:val="003F570E"/>
    <w:rsid w:val="003F6FAC"/>
    <w:rsid w:val="003F7614"/>
    <w:rsid w:val="00402903"/>
    <w:rsid w:val="00406445"/>
    <w:rsid w:val="00412079"/>
    <w:rsid w:val="00414A8F"/>
    <w:rsid w:val="00421FFF"/>
    <w:rsid w:val="0042284A"/>
    <w:rsid w:val="00423747"/>
    <w:rsid w:val="0043505E"/>
    <w:rsid w:val="00436060"/>
    <w:rsid w:val="0044565F"/>
    <w:rsid w:val="0044619C"/>
    <w:rsid w:val="0045273C"/>
    <w:rsid w:val="00462593"/>
    <w:rsid w:val="004628D1"/>
    <w:rsid w:val="0046721C"/>
    <w:rsid w:val="00467996"/>
    <w:rsid w:val="004830D0"/>
    <w:rsid w:val="00483AF1"/>
    <w:rsid w:val="00484DF0"/>
    <w:rsid w:val="00493A90"/>
    <w:rsid w:val="004A12FE"/>
    <w:rsid w:val="004A2B1B"/>
    <w:rsid w:val="004A6307"/>
    <w:rsid w:val="004B7E00"/>
    <w:rsid w:val="004C0AD0"/>
    <w:rsid w:val="004C0E78"/>
    <w:rsid w:val="004C6651"/>
    <w:rsid w:val="004D0869"/>
    <w:rsid w:val="004D302A"/>
    <w:rsid w:val="004D6AF8"/>
    <w:rsid w:val="004D72BA"/>
    <w:rsid w:val="004E3CEA"/>
    <w:rsid w:val="004F10C0"/>
    <w:rsid w:val="004F12D1"/>
    <w:rsid w:val="004F1686"/>
    <w:rsid w:val="004F3108"/>
    <w:rsid w:val="004F3677"/>
    <w:rsid w:val="004F5AE3"/>
    <w:rsid w:val="004F757D"/>
    <w:rsid w:val="005000C0"/>
    <w:rsid w:val="005067BD"/>
    <w:rsid w:val="0051148F"/>
    <w:rsid w:val="00511BDF"/>
    <w:rsid w:val="00511CAE"/>
    <w:rsid w:val="0051574E"/>
    <w:rsid w:val="005304B9"/>
    <w:rsid w:val="00531C38"/>
    <w:rsid w:val="00532F1A"/>
    <w:rsid w:val="00542363"/>
    <w:rsid w:val="00543928"/>
    <w:rsid w:val="00551D32"/>
    <w:rsid w:val="005547A8"/>
    <w:rsid w:val="005567A0"/>
    <w:rsid w:val="00560383"/>
    <w:rsid w:val="005618BF"/>
    <w:rsid w:val="005639F0"/>
    <w:rsid w:val="0056424B"/>
    <w:rsid w:val="00565AC5"/>
    <w:rsid w:val="00565E13"/>
    <w:rsid w:val="00573DBB"/>
    <w:rsid w:val="00582FC0"/>
    <w:rsid w:val="00585D65"/>
    <w:rsid w:val="00586B9C"/>
    <w:rsid w:val="0059104A"/>
    <w:rsid w:val="00595C9F"/>
    <w:rsid w:val="0059746F"/>
    <w:rsid w:val="0059766D"/>
    <w:rsid w:val="005A0019"/>
    <w:rsid w:val="005A7D04"/>
    <w:rsid w:val="005C6748"/>
    <w:rsid w:val="005D0A48"/>
    <w:rsid w:val="005D1FBB"/>
    <w:rsid w:val="005D2233"/>
    <w:rsid w:val="005D3169"/>
    <w:rsid w:val="005D5813"/>
    <w:rsid w:val="005D7553"/>
    <w:rsid w:val="005D7AEF"/>
    <w:rsid w:val="005E4EAF"/>
    <w:rsid w:val="005E50FF"/>
    <w:rsid w:val="005F2370"/>
    <w:rsid w:val="005F445F"/>
    <w:rsid w:val="00601489"/>
    <w:rsid w:val="00604147"/>
    <w:rsid w:val="0060504E"/>
    <w:rsid w:val="00611D24"/>
    <w:rsid w:val="0061242A"/>
    <w:rsid w:val="006125D5"/>
    <w:rsid w:val="006128C6"/>
    <w:rsid w:val="00616975"/>
    <w:rsid w:val="00620D05"/>
    <w:rsid w:val="0062349D"/>
    <w:rsid w:val="00641A1C"/>
    <w:rsid w:val="00643565"/>
    <w:rsid w:val="006460EC"/>
    <w:rsid w:val="00662EA4"/>
    <w:rsid w:val="00663852"/>
    <w:rsid w:val="00663E9D"/>
    <w:rsid w:val="00664E2B"/>
    <w:rsid w:val="006712B0"/>
    <w:rsid w:val="00677762"/>
    <w:rsid w:val="0068165D"/>
    <w:rsid w:val="00685B2D"/>
    <w:rsid w:val="006907B5"/>
    <w:rsid w:val="00692158"/>
    <w:rsid w:val="00694F28"/>
    <w:rsid w:val="006A5322"/>
    <w:rsid w:val="006C7BE5"/>
    <w:rsid w:val="006D5E44"/>
    <w:rsid w:val="006D7E45"/>
    <w:rsid w:val="006E317F"/>
    <w:rsid w:val="006E3ABF"/>
    <w:rsid w:val="006E3D93"/>
    <w:rsid w:val="006F113E"/>
    <w:rsid w:val="006F1DA7"/>
    <w:rsid w:val="006F267B"/>
    <w:rsid w:val="006F28A2"/>
    <w:rsid w:val="006F534E"/>
    <w:rsid w:val="006F6443"/>
    <w:rsid w:val="006F753F"/>
    <w:rsid w:val="00700A39"/>
    <w:rsid w:val="00702701"/>
    <w:rsid w:val="00702849"/>
    <w:rsid w:val="0070423D"/>
    <w:rsid w:val="00704404"/>
    <w:rsid w:val="0070659E"/>
    <w:rsid w:val="00707E12"/>
    <w:rsid w:val="007119BF"/>
    <w:rsid w:val="00711AC4"/>
    <w:rsid w:val="00714478"/>
    <w:rsid w:val="0071462E"/>
    <w:rsid w:val="0071798B"/>
    <w:rsid w:val="007227AF"/>
    <w:rsid w:val="007233FD"/>
    <w:rsid w:val="00724959"/>
    <w:rsid w:val="0072497B"/>
    <w:rsid w:val="00727284"/>
    <w:rsid w:val="007306DD"/>
    <w:rsid w:val="00740A1F"/>
    <w:rsid w:val="00740D73"/>
    <w:rsid w:val="0074570C"/>
    <w:rsid w:val="00751C7E"/>
    <w:rsid w:val="00753A3E"/>
    <w:rsid w:val="007618E9"/>
    <w:rsid w:val="00767474"/>
    <w:rsid w:val="00773F7E"/>
    <w:rsid w:val="00775C0C"/>
    <w:rsid w:val="007817C2"/>
    <w:rsid w:val="00785F83"/>
    <w:rsid w:val="007860CE"/>
    <w:rsid w:val="007A1133"/>
    <w:rsid w:val="007B4792"/>
    <w:rsid w:val="007B4D6D"/>
    <w:rsid w:val="007B4EC7"/>
    <w:rsid w:val="007C1DEC"/>
    <w:rsid w:val="007C6A2E"/>
    <w:rsid w:val="007D42BA"/>
    <w:rsid w:val="007E4F47"/>
    <w:rsid w:val="007F0F4C"/>
    <w:rsid w:val="007F4C3D"/>
    <w:rsid w:val="0080315D"/>
    <w:rsid w:val="008053A9"/>
    <w:rsid w:val="0080557F"/>
    <w:rsid w:val="00815C1C"/>
    <w:rsid w:val="00816DA0"/>
    <w:rsid w:val="00820194"/>
    <w:rsid w:val="00820B55"/>
    <w:rsid w:val="00824942"/>
    <w:rsid w:val="00833492"/>
    <w:rsid w:val="00834E79"/>
    <w:rsid w:val="00856885"/>
    <w:rsid w:val="00861938"/>
    <w:rsid w:val="00862F9E"/>
    <w:rsid w:val="00864494"/>
    <w:rsid w:val="00866005"/>
    <w:rsid w:val="008712FF"/>
    <w:rsid w:val="00880D05"/>
    <w:rsid w:val="00882629"/>
    <w:rsid w:val="00885467"/>
    <w:rsid w:val="0088558B"/>
    <w:rsid w:val="0088750B"/>
    <w:rsid w:val="00895DF8"/>
    <w:rsid w:val="008A0F1D"/>
    <w:rsid w:val="008A1699"/>
    <w:rsid w:val="008A6C2A"/>
    <w:rsid w:val="008B1D9D"/>
    <w:rsid w:val="008C0A18"/>
    <w:rsid w:val="008C2BDB"/>
    <w:rsid w:val="008C5147"/>
    <w:rsid w:val="008C7CEC"/>
    <w:rsid w:val="008D6758"/>
    <w:rsid w:val="008E265A"/>
    <w:rsid w:val="008E3B72"/>
    <w:rsid w:val="008E42F8"/>
    <w:rsid w:val="008E715C"/>
    <w:rsid w:val="008E74C9"/>
    <w:rsid w:val="008F1069"/>
    <w:rsid w:val="008F6DA8"/>
    <w:rsid w:val="00900ECC"/>
    <w:rsid w:val="009048FF"/>
    <w:rsid w:val="009069D2"/>
    <w:rsid w:val="009119A9"/>
    <w:rsid w:val="00914314"/>
    <w:rsid w:val="009164C6"/>
    <w:rsid w:val="00920094"/>
    <w:rsid w:val="0092119A"/>
    <w:rsid w:val="009264DD"/>
    <w:rsid w:val="0092731F"/>
    <w:rsid w:val="00930C86"/>
    <w:rsid w:val="00932630"/>
    <w:rsid w:val="00933576"/>
    <w:rsid w:val="00935693"/>
    <w:rsid w:val="00935F19"/>
    <w:rsid w:val="00952146"/>
    <w:rsid w:val="00953F06"/>
    <w:rsid w:val="0096668D"/>
    <w:rsid w:val="009705EE"/>
    <w:rsid w:val="00972666"/>
    <w:rsid w:val="00972DED"/>
    <w:rsid w:val="0097387B"/>
    <w:rsid w:val="00980EFC"/>
    <w:rsid w:val="00984E8C"/>
    <w:rsid w:val="00995D54"/>
    <w:rsid w:val="0099747C"/>
    <w:rsid w:val="00997D3D"/>
    <w:rsid w:val="009A1D88"/>
    <w:rsid w:val="009A2911"/>
    <w:rsid w:val="009B0E51"/>
    <w:rsid w:val="009B6AAB"/>
    <w:rsid w:val="009B7758"/>
    <w:rsid w:val="009C2EE9"/>
    <w:rsid w:val="009D4A01"/>
    <w:rsid w:val="009D6DC3"/>
    <w:rsid w:val="009D6DF4"/>
    <w:rsid w:val="009E0A11"/>
    <w:rsid w:val="009E3EF7"/>
    <w:rsid w:val="009E7D17"/>
    <w:rsid w:val="009F2830"/>
    <w:rsid w:val="009F4288"/>
    <w:rsid w:val="009F6AB7"/>
    <w:rsid w:val="00A01F6E"/>
    <w:rsid w:val="00A05B36"/>
    <w:rsid w:val="00A07E95"/>
    <w:rsid w:val="00A12D08"/>
    <w:rsid w:val="00A14692"/>
    <w:rsid w:val="00A16107"/>
    <w:rsid w:val="00A23797"/>
    <w:rsid w:val="00A34A31"/>
    <w:rsid w:val="00A355D2"/>
    <w:rsid w:val="00A3670B"/>
    <w:rsid w:val="00A402FE"/>
    <w:rsid w:val="00A43ED0"/>
    <w:rsid w:val="00A44E56"/>
    <w:rsid w:val="00A51565"/>
    <w:rsid w:val="00A51B42"/>
    <w:rsid w:val="00A609BD"/>
    <w:rsid w:val="00A6236E"/>
    <w:rsid w:val="00A80A08"/>
    <w:rsid w:val="00A83704"/>
    <w:rsid w:val="00A903D4"/>
    <w:rsid w:val="00A90FDC"/>
    <w:rsid w:val="00A92DE0"/>
    <w:rsid w:val="00A94097"/>
    <w:rsid w:val="00AA14B9"/>
    <w:rsid w:val="00AA174E"/>
    <w:rsid w:val="00AA6268"/>
    <w:rsid w:val="00AB2786"/>
    <w:rsid w:val="00AB47E0"/>
    <w:rsid w:val="00AB74D8"/>
    <w:rsid w:val="00AC47D0"/>
    <w:rsid w:val="00AC6D41"/>
    <w:rsid w:val="00AC6E5D"/>
    <w:rsid w:val="00AD6734"/>
    <w:rsid w:val="00AD781F"/>
    <w:rsid w:val="00AE30ED"/>
    <w:rsid w:val="00AE6F1B"/>
    <w:rsid w:val="00B03BF0"/>
    <w:rsid w:val="00B13199"/>
    <w:rsid w:val="00B146DE"/>
    <w:rsid w:val="00B1583C"/>
    <w:rsid w:val="00B30E46"/>
    <w:rsid w:val="00B31484"/>
    <w:rsid w:val="00B362D2"/>
    <w:rsid w:val="00B36445"/>
    <w:rsid w:val="00B41D49"/>
    <w:rsid w:val="00B457FD"/>
    <w:rsid w:val="00B46AF4"/>
    <w:rsid w:val="00B472D8"/>
    <w:rsid w:val="00B50FC1"/>
    <w:rsid w:val="00B52A08"/>
    <w:rsid w:val="00B61CA1"/>
    <w:rsid w:val="00B72060"/>
    <w:rsid w:val="00B72EC7"/>
    <w:rsid w:val="00B7335F"/>
    <w:rsid w:val="00B75D1B"/>
    <w:rsid w:val="00B76FEE"/>
    <w:rsid w:val="00B834E5"/>
    <w:rsid w:val="00B871CD"/>
    <w:rsid w:val="00B92110"/>
    <w:rsid w:val="00B93155"/>
    <w:rsid w:val="00B94840"/>
    <w:rsid w:val="00BA10AB"/>
    <w:rsid w:val="00BB4D98"/>
    <w:rsid w:val="00BB5F7E"/>
    <w:rsid w:val="00BB7C8A"/>
    <w:rsid w:val="00BC090B"/>
    <w:rsid w:val="00BC0B48"/>
    <w:rsid w:val="00BC7C13"/>
    <w:rsid w:val="00BC7D07"/>
    <w:rsid w:val="00BD0474"/>
    <w:rsid w:val="00BD09FF"/>
    <w:rsid w:val="00BD2565"/>
    <w:rsid w:val="00BD4FFA"/>
    <w:rsid w:val="00BD729C"/>
    <w:rsid w:val="00BD7404"/>
    <w:rsid w:val="00BE51A0"/>
    <w:rsid w:val="00BE7403"/>
    <w:rsid w:val="00BF2332"/>
    <w:rsid w:val="00BF4BE5"/>
    <w:rsid w:val="00BF5F57"/>
    <w:rsid w:val="00C03BCA"/>
    <w:rsid w:val="00C1426E"/>
    <w:rsid w:val="00C15055"/>
    <w:rsid w:val="00C16860"/>
    <w:rsid w:val="00C16D34"/>
    <w:rsid w:val="00C176D9"/>
    <w:rsid w:val="00C2045F"/>
    <w:rsid w:val="00C2515A"/>
    <w:rsid w:val="00C323B2"/>
    <w:rsid w:val="00C34F58"/>
    <w:rsid w:val="00C47E7D"/>
    <w:rsid w:val="00C53C8F"/>
    <w:rsid w:val="00C57FEF"/>
    <w:rsid w:val="00C62E25"/>
    <w:rsid w:val="00C653E7"/>
    <w:rsid w:val="00C66CDF"/>
    <w:rsid w:val="00C730EC"/>
    <w:rsid w:val="00C7674A"/>
    <w:rsid w:val="00C77135"/>
    <w:rsid w:val="00C80A05"/>
    <w:rsid w:val="00C90BBF"/>
    <w:rsid w:val="00CA0E42"/>
    <w:rsid w:val="00CB0E5E"/>
    <w:rsid w:val="00CB330C"/>
    <w:rsid w:val="00CC1B0F"/>
    <w:rsid w:val="00CC6BA5"/>
    <w:rsid w:val="00CD215E"/>
    <w:rsid w:val="00CD36FB"/>
    <w:rsid w:val="00CD55BF"/>
    <w:rsid w:val="00CE37C5"/>
    <w:rsid w:val="00CF15F2"/>
    <w:rsid w:val="00CF22A4"/>
    <w:rsid w:val="00CF2C69"/>
    <w:rsid w:val="00D12FDC"/>
    <w:rsid w:val="00D21623"/>
    <w:rsid w:val="00D21F12"/>
    <w:rsid w:val="00D23F65"/>
    <w:rsid w:val="00D310E8"/>
    <w:rsid w:val="00D35703"/>
    <w:rsid w:val="00D37292"/>
    <w:rsid w:val="00D421E3"/>
    <w:rsid w:val="00D44850"/>
    <w:rsid w:val="00D4540C"/>
    <w:rsid w:val="00D47BDE"/>
    <w:rsid w:val="00D55926"/>
    <w:rsid w:val="00D55FD8"/>
    <w:rsid w:val="00D61E3C"/>
    <w:rsid w:val="00D633CF"/>
    <w:rsid w:val="00D70147"/>
    <w:rsid w:val="00D7597A"/>
    <w:rsid w:val="00D81F3A"/>
    <w:rsid w:val="00D905CB"/>
    <w:rsid w:val="00D92C60"/>
    <w:rsid w:val="00DA0B05"/>
    <w:rsid w:val="00DA3F88"/>
    <w:rsid w:val="00DA4818"/>
    <w:rsid w:val="00DA6834"/>
    <w:rsid w:val="00DA7298"/>
    <w:rsid w:val="00DB1589"/>
    <w:rsid w:val="00DC7F84"/>
    <w:rsid w:val="00DD0111"/>
    <w:rsid w:val="00DD5CF6"/>
    <w:rsid w:val="00DD6814"/>
    <w:rsid w:val="00DE2A2D"/>
    <w:rsid w:val="00DE3FEE"/>
    <w:rsid w:val="00DE7EC5"/>
    <w:rsid w:val="00DF5618"/>
    <w:rsid w:val="00DF6519"/>
    <w:rsid w:val="00E03308"/>
    <w:rsid w:val="00E06D6F"/>
    <w:rsid w:val="00E16E86"/>
    <w:rsid w:val="00E1732C"/>
    <w:rsid w:val="00E2408E"/>
    <w:rsid w:val="00E318FD"/>
    <w:rsid w:val="00E37268"/>
    <w:rsid w:val="00E41B82"/>
    <w:rsid w:val="00E5002D"/>
    <w:rsid w:val="00E521AD"/>
    <w:rsid w:val="00E55D7C"/>
    <w:rsid w:val="00E61B77"/>
    <w:rsid w:val="00E6253B"/>
    <w:rsid w:val="00E66646"/>
    <w:rsid w:val="00E67E6D"/>
    <w:rsid w:val="00E821DE"/>
    <w:rsid w:val="00E83DA4"/>
    <w:rsid w:val="00E91C4E"/>
    <w:rsid w:val="00E92F5D"/>
    <w:rsid w:val="00E93480"/>
    <w:rsid w:val="00E95F4D"/>
    <w:rsid w:val="00E97538"/>
    <w:rsid w:val="00EB4A58"/>
    <w:rsid w:val="00EB61F9"/>
    <w:rsid w:val="00EC0C6D"/>
    <w:rsid w:val="00EC1261"/>
    <w:rsid w:val="00EC12EB"/>
    <w:rsid w:val="00EC3FBE"/>
    <w:rsid w:val="00EC56E8"/>
    <w:rsid w:val="00EC5BAE"/>
    <w:rsid w:val="00EC69A4"/>
    <w:rsid w:val="00ED194F"/>
    <w:rsid w:val="00ED43A7"/>
    <w:rsid w:val="00ED46AE"/>
    <w:rsid w:val="00ED6F64"/>
    <w:rsid w:val="00ED7104"/>
    <w:rsid w:val="00EE2B9F"/>
    <w:rsid w:val="00EF7DAF"/>
    <w:rsid w:val="00F0255B"/>
    <w:rsid w:val="00F03203"/>
    <w:rsid w:val="00F0473E"/>
    <w:rsid w:val="00F20192"/>
    <w:rsid w:val="00F24B3C"/>
    <w:rsid w:val="00F2717D"/>
    <w:rsid w:val="00F31ADE"/>
    <w:rsid w:val="00F31DD1"/>
    <w:rsid w:val="00F46607"/>
    <w:rsid w:val="00F47754"/>
    <w:rsid w:val="00F551C8"/>
    <w:rsid w:val="00F5622A"/>
    <w:rsid w:val="00F57116"/>
    <w:rsid w:val="00F67276"/>
    <w:rsid w:val="00F71CB5"/>
    <w:rsid w:val="00F745E6"/>
    <w:rsid w:val="00F76946"/>
    <w:rsid w:val="00F77705"/>
    <w:rsid w:val="00F84A05"/>
    <w:rsid w:val="00F85AAD"/>
    <w:rsid w:val="00F903AC"/>
    <w:rsid w:val="00F9557A"/>
    <w:rsid w:val="00F95D18"/>
    <w:rsid w:val="00F96063"/>
    <w:rsid w:val="00FA2FFD"/>
    <w:rsid w:val="00FA5249"/>
    <w:rsid w:val="00FA5AB4"/>
    <w:rsid w:val="00FA6770"/>
    <w:rsid w:val="00FA6A01"/>
    <w:rsid w:val="00FB01C3"/>
    <w:rsid w:val="00FB0DAD"/>
    <w:rsid w:val="00FB3EB6"/>
    <w:rsid w:val="00FB46B7"/>
    <w:rsid w:val="00FB4971"/>
    <w:rsid w:val="00FB564A"/>
    <w:rsid w:val="00FB5E6C"/>
    <w:rsid w:val="00FC0C01"/>
    <w:rsid w:val="00FC17CA"/>
    <w:rsid w:val="00FC1AB5"/>
    <w:rsid w:val="00FC1DA0"/>
    <w:rsid w:val="00FC5457"/>
    <w:rsid w:val="00FD1F19"/>
    <w:rsid w:val="00FD5C2B"/>
    <w:rsid w:val="00FD70C1"/>
    <w:rsid w:val="00FE6865"/>
    <w:rsid w:val="00FE7185"/>
    <w:rsid w:val="00FF0967"/>
    <w:rsid w:val="00FF1B91"/>
    <w:rsid w:val="00FF2761"/>
    <w:rsid w:val="00FF2BD8"/>
    <w:rsid w:val="00FF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88e3ff" strokecolor="#88e3ff">
      <v:fill color="#88e3ff"/>
      <v:stroke color="#88e3ff" weight="0"/>
    </o:shapedefaults>
    <o:shapelayout v:ext="edit">
      <o:idmap v:ext="edit" data="1"/>
    </o:shapelayout>
  </w:shapeDefaults>
  <w:decimalSymbol w:val="."/>
  <w:listSeparator w:val=","/>
  <w14:docId w14:val="52E3F225"/>
  <w15:docId w15:val="{6DC7FF56-D83C-4B61-9823-E73DE545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868"/>
    <w:pPr>
      <w:spacing w:before="80" w:after="80" w:line="280" w:lineRule="exact"/>
      <w:jc w:val="both"/>
    </w:pPr>
    <w:rPr>
      <w:rFonts w:ascii="Arial" w:hAnsi="Arial"/>
      <w:sz w:val="22"/>
      <w:szCs w:val="22"/>
      <w:lang w:eastAsia="en-US"/>
    </w:rPr>
  </w:style>
  <w:style w:type="paragraph" w:styleId="Heading1">
    <w:name w:val="heading 1"/>
    <w:basedOn w:val="Normal"/>
    <w:next w:val="Normal"/>
    <w:qFormat/>
    <w:rsid w:val="00AC6D41"/>
    <w:pPr>
      <w:keepNext/>
      <w:numPr>
        <w:numId w:val="2"/>
      </w:numPr>
      <w:pBdr>
        <w:bottom w:val="single" w:sz="4" w:space="1" w:color="auto"/>
      </w:pBdr>
      <w:spacing w:after="480" w:line="320" w:lineRule="exact"/>
      <w:outlineLvl w:val="0"/>
    </w:pPr>
    <w:rPr>
      <w:rFonts w:cs="Arial"/>
      <w:b/>
      <w:bCs/>
      <w:spacing w:val="40"/>
      <w:kern w:val="32"/>
      <w:sz w:val="32"/>
      <w:szCs w:val="32"/>
    </w:rPr>
  </w:style>
  <w:style w:type="paragraph" w:styleId="Heading2">
    <w:name w:val="heading 2"/>
    <w:basedOn w:val="Normal"/>
    <w:next w:val="Normal"/>
    <w:link w:val="Heading2Char"/>
    <w:uiPriority w:val="9"/>
    <w:qFormat/>
    <w:rsid w:val="00AC6D41"/>
    <w:pPr>
      <w:keepNext/>
      <w:spacing w:before="240" w:after="240" w:line="320" w:lineRule="exact"/>
      <w:outlineLvl w:val="1"/>
    </w:pPr>
    <w:rPr>
      <w:rFonts w:cs="Arial"/>
      <w:b/>
      <w:bCs/>
      <w:iCs/>
      <w:sz w:val="28"/>
      <w:szCs w:val="28"/>
    </w:rPr>
  </w:style>
  <w:style w:type="paragraph" w:styleId="Heading3">
    <w:name w:val="heading 3"/>
    <w:basedOn w:val="Normal"/>
    <w:next w:val="Normal"/>
    <w:qFormat/>
    <w:rsid w:val="009048FF"/>
    <w:pPr>
      <w:keepNext/>
      <w:spacing w:before="240"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4628D1"/>
    <w:rPr>
      <w:szCs w:val="20"/>
    </w:rPr>
  </w:style>
  <w:style w:type="paragraph" w:customStyle="1" w:styleId="BulletList">
    <w:name w:val="Bullet List"/>
    <w:basedOn w:val="Normal"/>
    <w:rsid w:val="00396464"/>
    <w:pPr>
      <w:numPr>
        <w:numId w:val="1"/>
      </w:numPr>
    </w:pPr>
  </w:style>
  <w:style w:type="paragraph" w:customStyle="1" w:styleId="NumberList">
    <w:name w:val="Number List"/>
    <w:basedOn w:val="Normal"/>
    <w:rsid w:val="00984E8C"/>
    <w:pPr>
      <w:numPr>
        <w:numId w:val="3"/>
      </w:numPr>
    </w:pPr>
  </w:style>
  <w:style w:type="paragraph" w:customStyle="1" w:styleId="TableHeader1">
    <w:name w:val="Table Header 1"/>
    <w:basedOn w:val="Normal"/>
    <w:rsid w:val="00AC6D41"/>
    <w:pPr>
      <w:spacing w:before="40" w:after="40" w:line="220" w:lineRule="exact"/>
      <w:jc w:val="center"/>
    </w:pPr>
    <w:rPr>
      <w:b/>
      <w:sz w:val="16"/>
    </w:rPr>
  </w:style>
  <w:style w:type="paragraph" w:customStyle="1" w:styleId="TableHeader2">
    <w:name w:val="Table Header 2"/>
    <w:basedOn w:val="Normal"/>
    <w:rsid w:val="00AC6D41"/>
    <w:pPr>
      <w:spacing w:before="40" w:after="40"/>
    </w:pPr>
    <w:rPr>
      <w:b/>
      <w:sz w:val="16"/>
    </w:rPr>
  </w:style>
  <w:style w:type="paragraph" w:customStyle="1" w:styleId="TableMainText">
    <w:name w:val="Table Main Text"/>
    <w:basedOn w:val="Normal"/>
    <w:rsid w:val="00AC6D41"/>
    <w:rPr>
      <w:sz w:val="16"/>
    </w:rPr>
  </w:style>
  <w:style w:type="table" w:customStyle="1" w:styleId="TableGrid-noborder">
    <w:name w:val="Table Grid - no border"/>
    <w:basedOn w:val="TableNormal"/>
    <w:rsid w:val="00532F1A"/>
    <w:rPr>
      <w:rFonts w:ascii="Arial" w:hAnsi="Arial"/>
    </w:rPr>
    <w:tblPr/>
  </w:style>
  <w:style w:type="paragraph" w:customStyle="1" w:styleId="DocumentTitle">
    <w:name w:val="Document Title"/>
    <w:basedOn w:val="Normal"/>
    <w:rsid w:val="004628D1"/>
    <w:pPr>
      <w:spacing w:before="0" w:after="600"/>
    </w:pPr>
    <w:rPr>
      <w:b/>
      <w:caps/>
      <w:spacing w:val="40"/>
      <w:sz w:val="32"/>
      <w:szCs w:val="32"/>
    </w:rPr>
  </w:style>
  <w:style w:type="paragraph" w:styleId="Header">
    <w:name w:val="header"/>
    <w:rsid w:val="009069D2"/>
    <w:pPr>
      <w:tabs>
        <w:tab w:val="center" w:pos="4153"/>
        <w:tab w:val="right" w:pos="8306"/>
      </w:tabs>
    </w:pPr>
    <w:rPr>
      <w:rFonts w:ascii="Tahoma" w:hAnsi="Tahoma" w:cs="Tahoma"/>
      <w:sz w:val="16"/>
      <w:szCs w:val="16"/>
      <w:lang w:eastAsia="en-US"/>
    </w:rPr>
  </w:style>
  <w:style w:type="paragraph" w:styleId="Footer">
    <w:name w:val="footer"/>
    <w:link w:val="FooterChar"/>
    <w:rsid w:val="00D92C60"/>
    <w:pPr>
      <w:tabs>
        <w:tab w:val="center" w:pos="4153"/>
        <w:tab w:val="right" w:pos="8306"/>
      </w:tabs>
    </w:pPr>
    <w:rPr>
      <w:rFonts w:ascii="Arial" w:hAnsi="Arial"/>
      <w:sz w:val="16"/>
      <w:szCs w:val="22"/>
      <w:lang w:eastAsia="en-US"/>
    </w:rPr>
  </w:style>
  <w:style w:type="character" w:styleId="PageNumber">
    <w:name w:val="page number"/>
    <w:basedOn w:val="DefaultParagraphFont"/>
    <w:rsid w:val="00D92C60"/>
    <w:rPr>
      <w:rFonts w:ascii="Arial" w:hAnsi="Arial"/>
      <w:sz w:val="16"/>
    </w:rPr>
  </w:style>
  <w:style w:type="paragraph" w:customStyle="1" w:styleId="TableMainFigures">
    <w:name w:val="Table Main Figures"/>
    <w:basedOn w:val="TableMainText"/>
    <w:rsid w:val="00396464"/>
    <w:pPr>
      <w:jc w:val="right"/>
    </w:pPr>
  </w:style>
  <w:style w:type="paragraph" w:customStyle="1" w:styleId="SubjectHeader">
    <w:name w:val="Subject Header"/>
    <w:basedOn w:val="Normal"/>
    <w:next w:val="MainText"/>
    <w:rsid w:val="00A83704"/>
    <w:pPr>
      <w:pBdr>
        <w:top w:val="single" w:sz="4" w:space="8" w:color="auto"/>
        <w:bottom w:val="single" w:sz="4" w:space="10" w:color="auto"/>
      </w:pBdr>
      <w:tabs>
        <w:tab w:val="left" w:pos="5760"/>
        <w:tab w:val="left" w:pos="7920"/>
      </w:tabs>
      <w:spacing w:before="240" w:after="360"/>
    </w:pPr>
    <w:rPr>
      <w:rFonts w:cs="Arial"/>
      <w:b/>
      <w:caps/>
      <w:szCs w:val="20"/>
    </w:rPr>
  </w:style>
  <w:style w:type="paragraph" w:customStyle="1" w:styleId="Contents">
    <w:name w:val="Contents"/>
    <w:basedOn w:val="MainText"/>
    <w:rsid w:val="00EB4A58"/>
    <w:pPr>
      <w:pBdr>
        <w:bottom w:val="single" w:sz="4" w:space="1" w:color="auto"/>
      </w:pBdr>
      <w:spacing w:before="0" w:after="480" w:line="320" w:lineRule="exact"/>
    </w:pPr>
    <w:rPr>
      <w:sz w:val="32"/>
    </w:rPr>
  </w:style>
  <w:style w:type="table" w:styleId="TableGrid">
    <w:name w:val="Table Grid"/>
    <w:basedOn w:val="TableNormal"/>
    <w:uiPriority w:val="39"/>
    <w:rsid w:val="003964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B4A58"/>
    <w:pPr>
      <w:tabs>
        <w:tab w:val="right" w:pos="8820"/>
      </w:tabs>
      <w:spacing w:before="240" w:after="0" w:line="240" w:lineRule="auto"/>
      <w:ind w:left="360" w:hanging="360"/>
    </w:pPr>
    <w:rPr>
      <w:caps/>
      <w:sz w:val="20"/>
      <w:szCs w:val="24"/>
    </w:rPr>
  </w:style>
  <w:style w:type="paragraph" w:styleId="TOC2">
    <w:name w:val="toc 2"/>
    <w:basedOn w:val="Normal"/>
    <w:next w:val="Normal"/>
    <w:autoRedefine/>
    <w:semiHidden/>
    <w:rsid w:val="00EB4A58"/>
    <w:pPr>
      <w:tabs>
        <w:tab w:val="right" w:pos="8820"/>
      </w:tabs>
      <w:spacing w:before="0" w:after="0" w:line="300" w:lineRule="exact"/>
      <w:ind w:left="360"/>
    </w:pPr>
    <w:rPr>
      <w:sz w:val="20"/>
      <w:szCs w:val="24"/>
    </w:rPr>
  </w:style>
  <w:style w:type="character" w:styleId="Hyperlink">
    <w:name w:val="Hyperlink"/>
    <w:basedOn w:val="DefaultParagraphFont"/>
    <w:rsid w:val="00EB4A58"/>
    <w:rPr>
      <w:rFonts w:ascii="Arial" w:hAnsi="Arial"/>
      <w:color w:val="0000FF"/>
      <w:sz w:val="22"/>
      <w:u w:val="single"/>
    </w:rPr>
  </w:style>
  <w:style w:type="character" w:customStyle="1" w:styleId="MainTextChar">
    <w:name w:val="Main Text Char"/>
    <w:basedOn w:val="DefaultParagraphFont"/>
    <w:link w:val="MainText"/>
    <w:rsid w:val="00EB4A58"/>
    <w:rPr>
      <w:rFonts w:ascii="Arial" w:hAnsi="Arial"/>
      <w:sz w:val="22"/>
      <w:lang w:val="en-GB" w:eastAsia="en-US" w:bidi="ar-SA"/>
    </w:rPr>
  </w:style>
  <w:style w:type="paragraph" w:styleId="DocumentMap">
    <w:name w:val="Document Map"/>
    <w:basedOn w:val="Normal"/>
    <w:semiHidden/>
    <w:rsid w:val="0037057E"/>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A23797"/>
    <w:rPr>
      <w:sz w:val="20"/>
      <w:szCs w:val="20"/>
    </w:rPr>
  </w:style>
  <w:style w:type="character" w:customStyle="1" w:styleId="FootnoteTextChar">
    <w:name w:val="Footnote Text Char"/>
    <w:basedOn w:val="DefaultParagraphFont"/>
    <w:link w:val="FootnoteText"/>
    <w:uiPriority w:val="99"/>
    <w:semiHidden/>
    <w:rsid w:val="00A23797"/>
    <w:rPr>
      <w:rFonts w:ascii="Arial" w:hAnsi="Arial"/>
      <w:lang w:eastAsia="en-US"/>
    </w:rPr>
  </w:style>
  <w:style w:type="character" w:styleId="FootnoteReference">
    <w:name w:val="footnote reference"/>
    <w:basedOn w:val="DefaultParagraphFont"/>
    <w:uiPriority w:val="99"/>
    <w:semiHidden/>
    <w:unhideWhenUsed/>
    <w:rsid w:val="00A23797"/>
    <w:rPr>
      <w:vertAlign w:val="superscript"/>
    </w:rPr>
  </w:style>
  <w:style w:type="paragraph" w:styleId="NormalWeb">
    <w:name w:val="Normal (Web)"/>
    <w:basedOn w:val="Normal"/>
    <w:uiPriority w:val="99"/>
    <w:unhideWhenUsed/>
    <w:rsid w:val="005A0019"/>
    <w:pPr>
      <w:spacing w:before="100" w:beforeAutospacing="1" w:after="100" w:afterAutospacing="1" w:line="240" w:lineRule="auto"/>
      <w:jc w:val="left"/>
    </w:pPr>
    <w:rPr>
      <w:rFonts w:ascii="Times New Roman" w:hAnsi="Times New Roman"/>
      <w:sz w:val="24"/>
      <w:szCs w:val="24"/>
      <w:lang w:eastAsia="en-GB"/>
    </w:rPr>
  </w:style>
  <w:style w:type="paragraph" w:styleId="ListParagraph">
    <w:name w:val="List Paragraph"/>
    <w:basedOn w:val="Normal"/>
    <w:uiPriority w:val="34"/>
    <w:qFormat/>
    <w:rsid w:val="00AE6F1B"/>
    <w:pPr>
      <w:ind w:left="720"/>
      <w:contextualSpacing/>
    </w:pPr>
  </w:style>
  <w:style w:type="paragraph" w:styleId="BodyTextIndent">
    <w:name w:val="Body Text Indent"/>
    <w:basedOn w:val="Normal"/>
    <w:link w:val="BodyTextIndentChar"/>
    <w:uiPriority w:val="99"/>
    <w:unhideWhenUsed/>
    <w:rsid w:val="00AE6F1B"/>
    <w:pPr>
      <w:spacing w:after="120"/>
      <w:ind w:left="283"/>
    </w:pPr>
  </w:style>
  <w:style w:type="character" w:customStyle="1" w:styleId="BodyTextIndentChar">
    <w:name w:val="Body Text Indent Char"/>
    <w:basedOn w:val="DefaultParagraphFont"/>
    <w:link w:val="BodyTextIndent"/>
    <w:uiPriority w:val="99"/>
    <w:rsid w:val="00AE6F1B"/>
    <w:rPr>
      <w:rFonts w:ascii="Arial" w:hAnsi="Arial"/>
      <w:sz w:val="22"/>
      <w:szCs w:val="22"/>
      <w:lang w:eastAsia="en-US"/>
    </w:rPr>
  </w:style>
  <w:style w:type="character" w:styleId="FollowedHyperlink">
    <w:name w:val="FollowedHyperlink"/>
    <w:basedOn w:val="DefaultParagraphFont"/>
    <w:uiPriority w:val="99"/>
    <w:semiHidden/>
    <w:unhideWhenUsed/>
    <w:rsid w:val="00384F33"/>
    <w:rPr>
      <w:color w:val="800080" w:themeColor="followedHyperlink"/>
      <w:u w:val="single"/>
    </w:rPr>
  </w:style>
  <w:style w:type="character" w:customStyle="1" w:styleId="FooterChar">
    <w:name w:val="Footer Char"/>
    <w:basedOn w:val="DefaultParagraphFont"/>
    <w:link w:val="Footer"/>
    <w:rsid w:val="00B31484"/>
    <w:rPr>
      <w:rFonts w:ascii="Arial" w:hAnsi="Arial"/>
      <w:sz w:val="16"/>
      <w:szCs w:val="22"/>
      <w:lang w:eastAsia="en-US"/>
    </w:rPr>
  </w:style>
  <w:style w:type="paragraph" w:styleId="ListBullet">
    <w:name w:val="List Bullet"/>
    <w:basedOn w:val="Normal"/>
    <w:rsid w:val="00CC6BA5"/>
    <w:pPr>
      <w:numPr>
        <w:numId w:val="4"/>
      </w:numPr>
      <w:spacing w:before="0" w:after="120" w:line="360" w:lineRule="auto"/>
    </w:pPr>
    <w:rPr>
      <w:szCs w:val="24"/>
    </w:rPr>
  </w:style>
  <w:style w:type="paragraph" w:styleId="BalloonText">
    <w:name w:val="Balloon Text"/>
    <w:basedOn w:val="Normal"/>
    <w:link w:val="BalloonTextChar"/>
    <w:uiPriority w:val="99"/>
    <w:semiHidden/>
    <w:unhideWhenUsed/>
    <w:rsid w:val="0056038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83"/>
    <w:rPr>
      <w:rFonts w:ascii="Tahoma" w:hAnsi="Tahoma" w:cs="Tahoma"/>
      <w:sz w:val="16"/>
      <w:szCs w:val="16"/>
      <w:lang w:eastAsia="en-US"/>
    </w:rPr>
  </w:style>
  <w:style w:type="character" w:customStyle="1" w:styleId="Heading2Char">
    <w:name w:val="Heading 2 Char"/>
    <w:basedOn w:val="DefaultParagraphFont"/>
    <w:link w:val="Heading2"/>
    <w:uiPriority w:val="9"/>
    <w:rsid w:val="005D2233"/>
    <w:rPr>
      <w:rFonts w:ascii="Arial" w:hAnsi="Arial" w:cs="Arial"/>
      <w:b/>
      <w:bCs/>
      <w:iCs/>
      <w:sz w:val="28"/>
      <w:szCs w:val="28"/>
      <w:lang w:eastAsia="en-US"/>
    </w:rPr>
  </w:style>
  <w:style w:type="paragraph" w:styleId="z-TopofForm">
    <w:name w:val="HTML Top of Form"/>
    <w:basedOn w:val="Normal"/>
    <w:next w:val="Normal"/>
    <w:link w:val="z-TopofFormChar"/>
    <w:hidden/>
    <w:uiPriority w:val="99"/>
    <w:semiHidden/>
    <w:unhideWhenUsed/>
    <w:rsid w:val="005D2233"/>
    <w:pPr>
      <w:pBdr>
        <w:bottom w:val="single" w:sz="6" w:space="1" w:color="auto"/>
      </w:pBdr>
      <w:spacing w:before="0" w:after="0" w:line="240" w:lineRule="auto"/>
      <w:jc w:val="center"/>
    </w:pPr>
    <w:rPr>
      <w:rFonts w:cs="Arial"/>
      <w:vanish/>
      <w:sz w:val="16"/>
      <w:szCs w:val="16"/>
      <w:lang w:eastAsia="en-GB"/>
    </w:rPr>
  </w:style>
  <w:style w:type="character" w:customStyle="1" w:styleId="z-TopofFormChar">
    <w:name w:val="z-Top of Form Char"/>
    <w:basedOn w:val="DefaultParagraphFont"/>
    <w:link w:val="z-TopofForm"/>
    <w:uiPriority w:val="99"/>
    <w:semiHidden/>
    <w:rsid w:val="005D22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2233"/>
    <w:pPr>
      <w:pBdr>
        <w:top w:val="single" w:sz="6" w:space="1" w:color="auto"/>
      </w:pBdr>
      <w:spacing w:before="0" w:after="0" w:line="240" w:lineRule="auto"/>
      <w:jc w:val="center"/>
    </w:pPr>
    <w:rPr>
      <w:rFonts w:cs="Arial"/>
      <w:vanish/>
      <w:sz w:val="16"/>
      <w:szCs w:val="16"/>
      <w:lang w:eastAsia="en-GB"/>
    </w:rPr>
  </w:style>
  <w:style w:type="character" w:customStyle="1" w:styleId="z-BottomofFormChar">
    <w:name w:val="z-Bottom of Form Char"/>
    <w:basedOn w:val="DefaultParagraphFont"/>
    <w:link w:val="z-BottomofForm"/>
    <w:uiPriority w:val="99"/>
    <w:semiHidden/>
    <w:rsid w:val="005D2233"/>
    <w:rPr>
      <w:rFonts w:ascii="Arial" w:hAnsi="Arial" w:cs="Arial"/>
      <w:vanish/>
      <w:sz w:val="16"/>
      <w:szCs w:val="16"/>
    </w:rPr>
  </w:style>
  <w:style w:type="character" w:styleId="UnresolvedMention">
    <w:name w:val="Unresolved Mention"/>
    <w:basedOn w:val="DefaultParagraphFont"/>
    <w:uiPriority w:val="99"/>
    <w:semiHidden/>
    <w:unhideWhenUsed/>
    <w:rsid w:val="00B0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6839">
      <w:bodyDiv w:val="1"/>
      <w:marLeft w:val="0"/>
      <w:marRight w:val="0"/>
      <w:marTop w:val="0"/>
      <w:marBottom w:val="0"/>
      <w:divBdr>
        <w:top w:val="none" w:sz="0" w:space="0" w:color="auto"/>
        <w:left w:val="none" w:sz="0" w:space="0" w:color="auto"/>
        <w:bottom w:val="none" w:sz="0" w:space="0" w:color="auto"/>
        <w:right w:val="none" w:sz="0" w:space="0" w:color="auto"/>
      </w:divBdr>
    </w:div>
    <w:div w:id="306512731">
      <w:bodyDiv w:val="1"/>
      <w:marLeft w:val="0"/>
      <w:marRight w:val="0"/>
      <w:marTop w:val="0"/>
      <w:marBottom w:val="0"/>
      <w:divBdr>
        <w:top w:val="none" w:sz="0" w:space="0" w:color="auto"/>
        <w:left w:val="none" w:sz="0" w:space="0" w:color="auto"/>
        <w:bottom w:val="none" w:sz="0" w:space="0" w:color="auto"/>
        <w:right w:val="none" w:sz="0" w:space="0" w:color="auto"/>
      </w:divBdr>
    </w:div>
    <w:div w:id="338698134">
      <w:bodyDiv w:val="1"/>
      <w:marLeft w:val="0"/>
      <w:marRight w:val="0"/>
      <w:marTop w:val="0"/>
      <w:marBottom w:val="0"/>
      <w:divBdr>
        <w:top w:val="none" w:sz="0" w:space="0" w:color="auto"/>
        <w:left w:val="none" w:sz="0" w:space="0" w:color="auto"/>
        <w:bottom w:val="none" w:sz="0" w:space="0" w:color="auto"/>
        <w:right w:val="none" w:sz="0" w:space="0" w:color="auto"/>
      </w:divBdr>
    </w:div>
    <w:div w:id="434129778">
      <w:bodyDiv w:val="1"/>
      <w:marLeft w:val="0"/>
      <w:marRight w:val="0"/>
      <w:marTop w:val="0"/>
      <w:marBottom w:val="0"/>
      <w:divBdr>
        <w:top w:val="none" w:sz="0" w:space="0" w:color="auto"/>
        <w:left w:val="none" w:sz="0" w:space="0" w:color="auto"/>
        <w:bottom w:val="none" w:sz="0" w:space="0" w:color="auto"/>
        <w:right w:val="none" w:sz="0" w:space="0" w:color="auto"/>
      </w:divBdr>
    </w:div>
    <w:div w:id="551889941">
      <w:bodyDiv w:val="1"/>
      <w:marLeft w:val="0"/>
      <w:marRight w:val="0"/>
      <w:marTop w:val="0"/>
      <w:marBottom w:val="0"/>
      <w:divBdr>
        <w:top w:val="none" w:sz="0" w:space="0" w:color="auto"/>
        <w:left w:val="none" w:sz="0" w:space="0" w:color="auto"/>
        <w:bottom w:val="none" w:sz="0" w:space="0" w:color="auto"/>
        <w:right w:val="none" w:sz="0" w:space="0" w:color="auto"/>
      </w:divBdr>
    </w:div>
    <w:div w:id="673722218">
      <w:bodyDiv w:val="1"/>
      <w:marLeft w:val="0"/>
      <w:marRight w:val="0"/>
      <w:marTop w:val="0"/>
      <w:marBottom w:val="0"/>
      <w:divBdr>
        <w:top w:val="none" w:sz="0" w:space="0" w:color="auto"/>
        <w:left w:val="none" w:sz="0" w:space="0" w:color="auto"/>
        <w:bottom w:val="none" w:sz="0" w:space="0" w:color="auto"/>
        <w:right w:val="none" w:sz="0" w:space="0" w:color="auto"/>
      </w:divBdr>
    </w:div>
    <w:div w:id="962612340">
      <w:bodyDiv w:val="1"/>
      <w:marLeft w:val="0"/>
      <w:marRight w:val="0"/>
      <w:marTop w:val="0"/>
      <w:marBottom w:val="0"/>
      <w:divBdr>
        <w:top w:val="none" w:sz="0" w:space="0" w:color="auto"/>
        <w:left w:val="none" w:sz="0" w:space="0" w:color="auto"/>
        <w:bottom w:val="none" w:sz="0" w:space="0" w:color="auto"/>
        <w:right w:val="none" w:sz="0" w:space="0" w:color="auto"/>
      </w:divBdr>
      <w:divsChild>
        <w:div w:id="112360931">
          <w:marLeft w:val="0"/>
          <w:marRight w:val="0"/>
          <w:marTop w:val="0"/>
          <w:marBottom w:val="0"/>
          <w:divBdr>
            <w:top w:val="none" w:sz="0" w:space="0" w:color="auto"/>
            <w:left w:val="none" w:sz="0" w:space="0" w:color="auto"/>
            <w:bottom w:val="none" w:sz="0" w:space="0" w:color="auto"/>
            <w:right w:val="none" w:sz="0" w:space="0" w:color="auto"/>
          </w:divBdr>
          <w:divsChild>
            <w:div w:id="1175456565">
              <w:marLeft w:val="0"/>
              <w:marRight w:val="450"/>
              <w:marTop w:val="0"/>
              <w:marBottom w:val="0"/>
              <w:divBdr>
                <w:top w:val="none" w:sz="0" w:space="0" w:color="auto"/>
                <w:left w:val="none" w:sz="0" w:space="0" w:color="auto"/>
                <w:bottom w:val="none" w:sz="0" w:space="0" w:color="auto"/>
                <w:right w:val="none" w:sz="0" w:space="0" w:color="auto"/>
              </w:divBdr>
              <w:divsChild>
                <w:div w:id="1089697106">
                  <w:marLeft w:val="0"/>
                  <w:marRight w:val="0"/>
                  <w:marTop w:val="0"/>
                  <w:marBottom w:val="150"/>
                  <w:divBdr>
                    <w:top w:val="none" w:sz="0" w:space="0" w:color="auto"/>
                    <w:left w:val="none" w:sz="0" w:space="0" w:color="auto"/>
                    <w:bottom w:val="single" w:sz="6" w:space="0" w:color="000000"/>
                    <w:right w:val="none" w:sz="0" w:space="0" w:color="auto"/>
                  </w:divBdr>
                </w:div>
                <w:div w:id="2083717482">
                  <w:marLeft w:val="0"/>
                  <w:marRight w:val="0"/>
                  <w:marTop w:val="0"/>
                  <w:marBottom w:val="0"/>
                  <w:divBdr>
                    <w:top w:val="none" w:sz="0" w:space="0" w:color="auto"/>
                    <w:left w:val="none" w:sz="0" w:space="0" w:color="auto"/>
                    <w:bottom w:val="none" w:sz="0" w:space="0" w:color="auto"/>
                    <w:right w:val="none" w:sz="0" w:space="0" w:color="auto"/>
                  </w:divBdr>
                </w:div>
                <w:div w:id="19184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756">
          <w:marLeft w:val="0"/>
          <w:marRight w:val="0"/>
          <w:marTop w:val="0"/>
          <w:marBottom w:val="0"/>
          <w:divBdr>
            <w:top w:val="none" w:sz="0" w:space="0" w:color="auto"/>
            <w:left w:val="none" w:sz="0" w:space="0" w:color="auto"/>
            <w:bottom w:val="none" w:sz="0" w:space="0" w:color="auto"/>
            <w:right w:val="none" w:sz="0" w:space="0" w:color="auto"/>
          </w:divBdr>
          <w:divsChild>
            <w:div w:id="6542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274">
      <w:bodyDiv w:val="1"/>
      <w:marLeft w:val="0"/>
      <w:marRight w:val="0"/>
      <w:marTop w:val="0"/>
      <w:marBottom w:val="0"/>
      <w:divBdr>
        <w:top w:val="none" w:sz="0" w:space="0" w:color="auto"/>
        <w:left w:val="none" w:sz="0" w:space="0" w:color="auto"/>
        <w:bottom w:val="none" w:sz="0" w:space="0" w:color="auto"/>
        <w:right w:val="none" w:sz="0" w:space="0" w:color="auto"/>
      </w:divBdr>
    </w:div>
    <w:div w:id="1155417582">
      <w:bodyDiv w:val="1"/>
      <w:marLeft w:val="0"/>
      <w:marRight w:val="0"/>
      <w:marTop w:val="0"/>
      <w:marBottom w:val="0"/>
      <w:divBdr>
        <w:top w:val="none" w:sz="0" w:space="0" w:color="auto"/>
        <w:left w:val="none" w:sz="0" w:space="0" w:color="auto"/>
        <w:bottom w:val="none" w:sz="0" w:space="0" w:color="auto"/>
        <w:right w:val="none" w:sz="0" w:space="0" w:color="auto"/>
      </w:divBdr>
    </w:div>
    <w:div w:id="1220702219">
      <w:bodyDiv w:val="1"/>
      <w:marLeft w:val="0"/>
      <w:marRight w:val="0"/>
      <w:marTop w:val="0"/>
      <w:marBottom w:val="0"/>
      <w:divBdr>
        <w:top w:val="none" w:sz="0" w:space="0" w:color="auto"/>
        <w:left w:val="none" w:sz="0" w:space="0" w:color="auto"/>
        <w:bottom w:val="none" w:sz="0" w:space="0" w:color="auto"/>
        <w:right w:val="none" w:sz="0" w:space="0" w:color="auto"/>
      </w:divBdr>
    </w:div>
    <w:div w:id="1439789229">
      <w:bodyDiv w:val="1"/>
      <w:marLeft w:val="0"/>
      <w:marRight w:val="0"/>
      <w:marTop w:val="0"/>
      <w:marBottom w:val="0"/>
      <w:divBdr>
        <w:top w:val="none" w:sz="0" w:space="0" w:color="auto"/>
        <w:left w:val="none" w:sz="0" w:space="0" w:color="auto"/>
        <w:bottom w:val="none" w:sz="0" w:space="0" w:color="auto"/>
        <w:right w:val="none" w:sz="0" w:space="0" w:color="auto"/>
      </w:divBdr>
    </w:div>
    <w:div w:id="19659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ousingregulator.gov.uk/what-we-do/how-we-regulate/our-regulatory-framework-1-april-2019" TargetMode="External"/><Relationship Id="rId13" Type="http://schemas.openxmlformats.org/officeDocument/2006/relationships/hyperlink" Target="https://www.scottishhousingregulator.gov.uk/publications/scottish-social-housing-charter-technical-guidance-advisory-guidance-february-2019" TargetMode="External"/><Relationship Id="rId18" Type="http://schemas.openxmlformats.org/officeDocument/2006/relationships/hyperlink" Target="https://www.scottishhousingregulator.gov.uk/publications/determination-accounting-requirements-statutory-guidance-february-2019" TargetMode="External"/><Relationship Id="rId26" Type="http://schemas.openxmlformats.org/officeDocument/2006/relationships/hyperlink" Target="https://www.scottishhousingregulator.gov.uk/publications/how-request-appeal-regulatory-decision-statutory-guidance-february-2019" TargetMode="External"/><Relationship Id="rId3" Type="http://schemas.openxmlformats.org/officeDocument/2006/relationships/styles" Target="styles.xml"/><Relationship Id="rId21" Type="http://schemas.openxmlformats.org/officeDocument/2006/relationships/hyperlink" Target="https://www.scottishhousingregulator.gov.uk/publications/section-72-reporting-information-material-significance-statutory-guidance-february-2019" TargetMode="External"/><Relationship Id="rId7" Type="http://schemas.openxmlformats.org/officeDocument/2006/relationships/endnotes" Target="endnotes.xml"/><Relationship Id="rId12" Type="http://schemas.openxmlformats.org/officeDocument/2006/relationships/hyperlink" Target="https://www.scottishhousingregulator.gov.uk/publications/annual-assurance-statement-statutory-guidance-february-2019" TargetMode="External"/><Relationship Id="rId17" Type="http://schemas.openxmlformats.org/officeDocument/2006/relationships/hyperlink" Target="https://www.scottishhousingregulator.gov.uk/publications/tenant-consultation-and-approval-statutory-guidance-february-2019" TargetMode="External"/><Relationship Id="rId25" Type="http://schemas.openxmlformats.org/officeDocument/2006/relationships/hyperlink" Target="https://www.scottishhousingregulator.gov.uk/publications/how-request-review-regulatory-decision-statutory-guidance-february-2019" TargetMode="External"/><Relationship Id="rId2" Type="http://schemas.openxmlformats.org/officeDocument/2006/relationships/numbering" Target="numbering.xml"/><Relationship Id="rId16" Type="http://schemas.openxmlformats.org/officeDocument/2006/relationships/hyperlink" Target="https://www.scottishhousingregulator.gov.uk/publications/notifiable-events-statutory-guidance-february-2019" TargetMode="External"/><Relationship Id="rId20" Type="http://schemas.openxmlformats.org/officeDocument/2006/relationships/hyperlink" Target="https://www.scottishhousingregulator.gov.uk/publications/financial-viability-registered-social-landlords-statutory-guidance-february-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ha.co.uk/download.php?file=882" TargetMode="External"/><Relationship Id="rId24" Type="http://schemas.openxmlformats.org/officeDocument/2006/relationships/hyperlink" Target="https://www.scottishhousingregulator.gov.uk/publications/group-structures-and-constitutional-partnerships-statutory-guidance-february-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ttishhousingregulator.gov.uk/what-we-do/how-we-regulate/scottish-social-housing-charter" TargetMode="External"/><Relationship Id="rId23" Type="http://schemas.openxmlformats.org/officeDocument/2006/relationships/hyperlink" Target="https://www.scottishhousingregulator.gov.uk/publications/determination-what-meant-step-enforce-security-over-registered-social-landlords-land" TargetMode="External"/><Relationship Id="rId28" Type="http://schemas.openxmlformats.org/officeDocument/2006/relationships/header" Target="header1.xml"/><Relationship Id="rId10" Type="http://schemas.openxmlformats.org/officeDocument/2006/relationships/hyperlink" Target="https://www.sfha.co.uk/download.php?file=881" TargetMode="External"/><Relationship Id="rId19" Type="http://schemas.openxmlformats.org/officeDocument/2006/relationships/hyperlink" Target="https://www.scottishhousingregulator.gov.uk/publications/preparation-financial-statements-statutory-guidance-february-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ttishhousingregulator.gov.uk/publications/our-regulation-social-housing-our-response-consultation-feedback" TargetMode="External"/><Relationship Id="rId14" Type="http://schemas.openxmlformats.org/officeDocument/2006/relationships/hyperlink" Target="https://www.scottishhousingregulator.gov.uk/scottish-social-housing-charter-techncial-guidance-advisory-guidance-faqs" TargetMode="External"/><Relationship Id="rId22" Type="http://schemas.openxmlformats.org/officeDocument/2006/relationships/hyperlink" Target="https://www.scottishhousingregulator.gov.uk/publications/consultation-where-regulator-directing-transfer-assets-statutory-guidance-february-2019" TargetMode="External"/><Relationship Id="rId27" Type="http://schemas.openxmlformats.org/officeDocument/2006/relationships/hyperlink" Target="mailto:astokes@sfha.co.u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ha.co.uk/mediaLibrary/other/english/227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and%20Forms\House%20Style%20Templates\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2B51-7F95-462D-9E95-C1E4EEEA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600</TotalTime>
  <Pages>7</Pages>
  <Words>2342</Words>
  <Characters>15175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Report Cover Header</vt:lpstr>
    </vt:vector>
  </TitlesOfParts>
  <Company>Docuserve</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 Header</dc:title>
  <dc:creator>Maureen Watson</dc:creator>
  <cp:lastModifiedBy>Alan Stokes</cp:lastModifiedBy>
  <cp:revision>35</cp:revision>
  <cp:lastPrinted>2018-11-13T14:19:00Z</cp:lastPrinted>
  <dcterms:created xsi:type="dcterms:W3CDTF">2019-03-07T10:52:00Z</dcterms:created>
  <dcterms:modified xsi:type="dcterms:W3CDTF">2019-04-01T04:06:00Z</dcterms:modified>
</cp:coreProperties>
</file>