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EAC8" w14:textId="38D406FB" w:rsidR="00B703B0" w:rsidRDefault="0071381D" w:rsidP="00B703B0">
      <w:r>
        <w:rPr>
          <w:noProof/>
        </w:rPr>
        <w:drawing>
          <wp:anchor distT="0" distB="0" distL="114300" distR="114300" simplePos="0" relativeHeight="251662336" behindDoc="0" locked="0" layoutInCell="1" allowOverlap="1" wp14:anchorId="4D26099F" wp14:editId="0E3E99D0">
            <wp:simplePos x="0" y="0"/>
            <wp:positionH relativeFrom="page">
              <wp:align>left</wp:align>
            </wp:positionH>
            <wp:positionV relativeFrom="page">
              <wp:align>top</wp:align>
            </wp:positionV>
            <wp:extent cx="7562850" cy="10680700"/>
            <wp:effectExtent l="0" t="0" r="0" b="6350"/>
            <wp:wrapSquare wrapText="bothSides"/>
            <wp:docPr id="2" name="Picture 1" descr="A blu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cover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068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5035C" w14:textId="77777777" w:rsidR="00B703B0" w:rsidRPr="00B703B0" w:rsidRDefault="00B703B0" w:rsidP="00B703B0">
      <w:pPr>
        <w:sectPr w:rsidR="00B703B0" w:rsidRPr="00B703B0">
          <w:headerReference w:type="default" r:id="rId9"/>
          <w:footerReference w:type="default" r:id="rId10"/>
          <w:pgSz w:w="11906" w:h="16838"/>
          <w:pgMar w:top="1440" w:right="1440" w:bottom="1440" w:left="1440" w:header="708" w:footer="708" w:gutter="0"/>
          <w:cols w:space="708"/>
          <w:docGrid w:linePitch="360"/>
        </w:sectPr>
      </w:pPr>
    </w:p>
    <w:p w14:paraId="20AC04FC" w14:textId="7D4986F2" w:rsidR="00734834" w:rsidRPr="00824FB5" w:rsidRDefault="00734834" w:rsidP="00734834">
      <w:pPr>
        <w:rPr>
          <w:b/>
          <w:bCs/>
          <w:color w:val="2F5496" w:themeColor="accent1" w:themeShade="BF"/>
          <w:sz w:val="32"/>
          <w:szCs w:val="32"/>
          <w:u w:val="single"/>
        </w:rPr>
      </w:pPr>
      <w:r w:rsidRPr="00824FB5">
        <w:rPr>
          <w:b/>
          <w:bCs/>
          <w:color w:val="2F5496" w:themeColor="accent1" w:themeShade="BF"/>
          <w:sz w:val="32"/>
          <w:szCs w:val="32"/>
          <w:u w:val="single"/>
        </w:rPr>
        <w:lastRenderedPageBreak/>
        <w:t>Contents</w:t>
      </w:r>
    </w:p>
    <w:p w14:paraId="7B059318" w14:textId="37812885" w:rsidR="006522F1" w:rsidRDefault="00480608" w:rsidP="006522F1">
      <w:pPr>
        <w:pStyle w:val="ListParagraph"/>
        <w:numPr>
          <w:ilvl w:val="0"/>
          <w:numId w:val="10"/>
        </w:numPr>
        <w:ind w:left="357" w:hanging="357"/>
        <w:rPr>
          <w:b/>
          <w:bCs/>
          <w:sz w:val="28"/>
          <w:szCs w:val="28"/>
        </w:rPr>
      </w:pPr>
      <w:r w:rsidRPr="001535E1">
        <w:rPr>
          <w:b/>
          <w:bCs/>
          <w:sz w:val="28"/>
          <w:szCs w:val="28"/>
        </w:rPr>
        <w:t>Introduction</w:t>
      </w:r>
      <w:r w:rsidR="009E4CF8">
        <w:rPr>
          <w:b/>
          <w:bCs/>
          <w:sz w:val="28"/>
          <w:szCs w:val="28"/>
        </w:rPr>
        <w:t>……………………………………………….</w:t>
      </w:r>
      <w:r w:rsidR="009E4CF8">
        <w:rPr>
          <w:b/>
          <w:bCs/>
          <w:sz w:val="28"/>
          <w:szCs w:val="28"/>
        </w:rPr>
        <w:tab/>
      </w:r>
      <w:r w:rsidR="006F488D">
        <w:rPr>
          <w:b/>
          <w:bCs/>
          <w:sz w:val="28"/>
          <w:szCs w:val="28"/>
        </w:rPr>
        <w:t>p1</w:t>
      </w:r>
    </w:p>
    <w:p w14:paraId="6152BEB3" w14:textId="77777777" w:rsidR="00CE3202" w:rsidRPr="006522F1" w:rsidRDefault="00CE3202" w:rsidP="00CE3202">
      <w:pPr>
        <w:pStyle w:val="ListParagraph"/>
        <w:ind w:left="357"/>
        <w:rPr>
          <w:b/>
          <w:bCs/>
          <w:sz w:val="28"/>
          <w:szCs w:val="28"/>
        </w:rPr>
      </w:pPr>
    </w:p>
    <w:p w14:paraId="02A77273" w14:textId="0489672C" w:rsidR="004E6726" w:rsidRDefault="009C23BD" w:rsidP="004E6726">
      <w:pPr>
        <w:pStyle w:val="ListParagraph"/>
        <w:numPr>
          <w:ilvl w:val="0"/>
          <w:numId w:val="10"/>
        </w:numPr>
        <w:ind w:left="357" w:hanging="357"/>
        <w:rPr>
          <w:b/>
          <w:bCs/>
          <w:sz w:val="28"/>
          <w:szCs w:val="28"/>
        </w:rPr>
      </w:pPr>
      <w:r w:rsidRPr="004E6726">
        <w:rPr>
          <w:b/>
          <w:bCs/>
          <w:sz w:val="28"/>
          <w:szCs w:val="28"/>
        </w:rPr>
        <w:t>Key components of effective reporting</w:t>
      </w:r>
      <w:r w:rsidR="0010522A">
        <w:rPr>
          <w:b/>
          <w:bCs/>
          <w:sz w:val="28"/>
          <w:szCs w:val="28"/>
        </w:rPr>
        <w:t>………………</w:t>
      </w:r>
      <w:r w:rsidRPr="00CE3202">
        <w:rPr>
          <w:b/>
          <w:bCs/>
          <w:sz w:val="28"/>
          <w:szCs w:val="28"/>
        </w:rPr>
        <w:t xml:space="preserve"> </w:t>
      </w:r>
      <w:r w:rsidR="004E6726" w:rsidRPr="00CE3202">
        <w:rPr>
          <w:b/>
          <w:bCs/>
          <w:sz w:val="28"/>
          <w:szCs w:val="28"/>
        </w:rPr>
        <w:t>p</w:t>
      </w:r>
      <w:r w:rsidR="0010522A">
        <w:rPr>
          <w:b/>
          <w:bCs/>
          <w:sz w:val="28"/>
          <w:szCs w:val="28"/>
        </w:rPr>
        <w:t>2</w:t>
      </w:r>
    </w:p>
    <w:p w14:paraId="13E2BC24" w14:textId="77777777" w:rsidR="004E6726" w:rsidRPr="004E6726" w:rsidRDefault="004E6726" w:rsidP="004E6726">
      <w:pPr>
        <w:pStyle w:val="ListParagraph"/>
        <w:rPr>
          <w:b/>
          <w:bCs/>
          <w:sz w:val="28"/>
          <w:szCs w:val="28"/>
        </w:rPr>
      </w:pPr>
    </w:p>
    <w:p w14:paraId="1F90527C" w14:textId="143DECE1" w:rsidR="00CE3202" w:rsidRPr="004E6726" w:rsidRDefault="009C23BD" w:rsidP="004E6726">
      <w:pPr>
        <w:pStyle w:val="ListParagraph"/>
        <w:numPr>
          <w:ilvl w:val="0"/>
          <w:numId w:val="10"/>
        </w:numPr>
        <w:ind w:left="357" w:hanging="357"/>
        <w:rPr>
          <w:b/>
          <w:bCs/>
          <w:sz w:val="28"/>
          <w:szCs w:val="28"/>
        </w:rPr>
      </w:pPr>
      <w:r w:rsidRPr="00CE3202">
        <w:rPr>
          <w:b/>
          <w:bCs/>
          <w:sz w:val="28"/>
          <w:szCs w:val="28"/>
        </w:rPr>
        <w:t>Key people involved in reporting…………………</w:t>
      </w:r>
      <w:proofErr w:type="gramStart"/>
      <w:r w:rsidR="0010522A">
        <w:rPr>
          <w:b/>
          <w:bCs/>
          <w:sz w:val="28"/>
          <w:szCs w:val="28"/>
        </w:rPr>
        <w:t>…..</w:t>
      </w:r>
      <w:proofErr w:type="gramEnd"/>
      <w:r w:rsidR="009E4CF8" w:rsidRPr="004E6726">
        <w:rPr>
          <w:b/>
          <w:bCs/>
          <w:sz w:val="28"/>
          <w:szCs w:val="28"/>
        </w:rPr>
        <w:tab/>
      </w:r>
      <w:r w:rsidR="006F488D" w:rsidRPr="004E6726">
        <w:rPr>
          <w:b/>
          <w:bCs/>
          <w:sz w:val="28"/>
          <w:szCs w:val="28"/>
        </w:rPr>
        <w:t>p</w:t>
      </w:r>
      <w:r w:rsidR="0010522A">
        <w:rPr>
          <w:b/>
          <w:bCs/>
          <w:sz w:val="28"/>
          <w:szCs w:val="28"/>
        </w:rPr>
        <w:t>4</w:t>
      </w:r>
    </w:p>
    <w:p w14:paraId="7B76683E" w14:textId="77777777" w:rsidR="00CE3202" w:rsidRPr="00CE3202" w:rsidRDefault="00CE3202" w:rsidP="00CE3202">
      <w:pPr>
        <w:pStyle w:val="ListParagraph"/>
        <w:rPr>
          <w:b/>
          <w:bCs/>
          <w:sz w:val="28"/>
          <w:szCs w:val="28"/>
        </w:rPr>
      </w:pPr>
    </w:p>
    <w:p w14:paraId="55F56BAD" w14:textId="7371B600" w:rsidR="00CE3202" w:rsidRDefault="00480608" w:rsidP="00CE3202">
      <w:pPr>
        <w:pStyle w:val="ListParagraph"/>
        <w:numPr>
          <w:ilvl w:val="0"/>
          <w:numId w:val="10"/>
        </w:numPr>
        <w:ind w:left="357" w:hanging="357"/>
        <w:rPr>
          <w:b/>
          <w:bCs/>
          <w:sz w:val="28"/>
          <w:szCs w:val="28"/>
        </w:rPr>
      </w:pPr>
      <w:r w:rsidRPr="00CE3202">
        <w:rPr>
          <w:b/>
          <w:bCs/>
          <w:sz w:val="28"/>
          <w:szCs w:val="28"/>
        </w:rPr>
        <w:t>When to review reporting</w:t>
      </w:r>
      <w:r w:rsidR="009E4CF8" w:rsidRPr="00CE3202">
        <w:rPr>
          <w:b/>
          <w:bCs/>
          <w:sz w:val="28"/>
          <w:szCs w:val="28"/>
        </w:rPr>
        <w:t>……………………………….</w:t>
      </w:r>
      <w:r w:rsidR="008242A0" w:rsidRPr="00CE3202">
        <w:rPr>
          <w:b/>
          <w:bCs/>
          <w:sz w:val="28"/>
          <w:szCs w:val="28"/>
        </w:rPr>
        <w:tab/>
        <w:t>p</w:t>
      </w:r>
      <w:r w:rsidR="0010522A">
        <w:rPr>
          <w:b/>
          <w:bCs/>
          <w:sz w:val="28"/>
          <w:szCs w:val="28"/>
        </w:rPr>
        <w:t>5</w:t>
      </w:r>
    </w:p>
    <w:p w14:paraId="103A12DA" w14:textId="77777777" w:rsidR="00CE3202" w:rsidRPr="00CE3202" w:rsidRDefault="00CE3202" w:rsidP="00CE3202">
      <w:pPr>
        <w:pStyle w:val="ListParagraph"/>
        <w:rPr>
          <w:b/>
          <w:bCs/>
          <w:sz w:val="28"/>
          <w:szCs w:val="28"/>
        </w:rPr>
      </w:pPr>
    </w:p>
    <w:p w14:paraId="32F95A2E" w14:textId="50C72E05" w:rsidR="001535E1" w:rsidRDefault="00F07DA8" w:rsidP="00CE3202">
      <w:pPr>
        <w:pStyle w:val="ListParagraph"/>
        <w:numPr>
          <w:ilvl w:val="0"/>
          <w:numId w:val="10"/>
        </w:numPr>
        <w:ind w:left="357" w:hanging="357"/>
        <w:rPr>
          <w:b/>
          <w:bCs/>
          <w:sz w:val="28"/>
          <w:szCs w:val="28"/>
        </w:rPr>
      </w:pPr>
      <w:r w:rsidRPr="00CE3202">
        <w:rPr>
          <w:b/>
          <w:bCs/>
          <w:sz w:val="28"/>
          <w:szCs w:val="28"/>
        </w:rPr>
        <w:t>Length of reports</w:t>
      </w:r>
      <w:r w:rsidR="009E4CF8" w:rsidRPr="00CE3202">
        <w:rPr>
          <w:b/>
          <w:bCs/>
          <w:sz w:val="28"/>
          <w:szCs w:val="28"/>
        </w:rPr>
        <w:t>…………………………………………</w:t>
      </w:r>
      <w:r w:rsidR="009E4CF8" w:rsidRPr="00CE3202">
        <w:rPr>
          <w:b/>
          <w:bCs/>
          <w:sz w:val="28"/>
          <w:szCs w:val="28"/>
        </w:rPr>
        <w:tab/>
      </w:r>
      <w:r w:rsidR="008242A0" w:rsidRPr="00CE3202">
        <w:rPr>
          <w:b/>
          <w:bCs/>
          <w:sz w:val="28"/>
          <w:szCs w:val="28"/>
        </w:rPr>
        <w:t>p</w:t>
      </w:r>
      <w:r w:rsidR="0010522A">
        <w:rPr>
          <w:b/>
          <w:bCs/>
          <w:sz w:val="28"/>
          <w:szCs w:val="28"/>
        </w:rPr>
        <w:t>8</w:t>
      </w:r>
    </w:p>
    <w:p w14:paraId="127E365C" w14:textId="77777777" w:rsidR="00CE3202" w:rsidRPr="00CE3202" w:rsidRDefault="00CE3202" w:rsidP="00CE3202">
      <w:pPr>
        <w:pStyle w:val="ListParagraph"/>
        <w:rPr>
          <w:b/>
          <w:bCs/>
          <w:sz w:val="28"/>
          <w:szCs w:val="28"/>
        </w:rPr>
      </w:pPr>
    </w:p>
    <w:p w14:paraId="01F368EF" w14:textId="412C0E18" w:rsidR="001535E1" w:rsidRDefault="005523ED" w:rsidP="00CE3202">
      <w:pPr>
        <w:pStyle w:val="ListParagraph"/>
        <w:numPr>
          <w:ilvl w:val="0"/>
          <w:numId w:val="10"/>
        </w:numPr>
        <w:ind w:left="357" w:hanging="357"/>
        <w:rPr>
          <w:b/>
          <w:bCs/>
          <w:sz w:val="28"/>
          <w:szCs w:val="28"/>
        </w:rPr>
      </w:pPr>
      <w:r w:rsidRPr="00CE3202">
        <w:rPr>
          <w:b/>
          <w:bCs/>
          <w:sz w:val="28"/>
          <w:szCs w:val="28"/>
        </w:rPr>
        <w:t>Report styles</w:t>
      </w:r>
      <w:r w:rsidR="00D14B5C" w:rsidRPr="00CE3202">
        <w:rPr>
          <w:b/>
          <w:bCs/>
          <w:sz w:val="28"/>
          <w:szCs w:val="28"/>
        </w:rPr>
        <w:t xml:space="preserve"> and templates</w:t>
      </w:r>
      <w:r w:rsidR="009E4CF8" w:rsidRPr="00CE3202">
        <w:rPr>
          <w:b/>
          <w:bCs/>
          <w:sz w:val="28"/>
          <w:szCs w:val="28"/>
        </w:rPr>
        <w:t>……………………………</w:t>
      </w:r>
      <w:r w:rsidR="009E4CF8" w:rsidRPr="00CE3202">
        <w:rPr>
          <w:b/>
          <w:bCs/>
          <w:sz w:val="28"/>
          <w:szCs w:val="28"/>
        </w:rPr>
        <w:tab/>
      </w:r>
      <w:r w:rsidR="001B6706" w:rsidRPr="00CE3202">
        <w:rPr>
          <w:b/>
          <w:bCs/>
          <w:sz w:val="28"/>
          <w:szCs w:val="28"/>
        </w:rPr>
        <w:t>p</w:t>
      </w:r>
      <w:r w:rsidR="00577E98">
        <w:rPr>
          <w:b/>
          <w:bCs/>
          <w:sz w:val="28"/>
          <w:szCs w:val="28"/>
        </w:rPr>
        <w:t>10</w:t>
      </w:r>
    </w:p>
    <w:p w14:paraId="255EDEF5" w14:textId="77777777" w:rsidR="00CE3202" w:rsidRPr="00CE3202" w:rsidRDefault="00CE3202" w:rsidP="00CE3202">
      <w:pPr>
        <w:pStyle w:val="ListParagraph"/>
        <w:rPr>
          <w:b/>
          <w:bCs/>
          <w:sz w:val="28"/>
          <w:szCs w:val="28"/>
        </w:rPr>
      </w:pPr>
    </w:p>
    <w:p w14:paraId="2D9EBEF4" w14:textId="7F974E92" w:rsidR="00593EB8" w:rsidRDefault="00291B29" w:rsidP="00593EB8">
      <w:pPr>
        <w:pStyle w:val="ListParagraph"/>
        <w:numPr>
          <w:ilvl w:val="0"/>
          <w:numId w:val="10"/>
        </w:numPr>
        <w:ind w:left="357" w:hanging="357"/>
        <w:rPr>
          <w:b/>
          <w:bCs/>
          <w:sz w:val="28"/>
          <w:szCs w:val="28"/>
        </w:rPr>
      </w:pPr>
      <w:r w:rsidRPr="00CE3202">
        <w:rPr>
          <w:b/>
          <w:bCs/>
          <w:sz w:val="28"/>
          <w:szCs w:val="28"/>
        </w:rPr>
        <w:t>Including the right content</w:t>
      </w:r>
      <w:r w:rsidR="009E4CF8" w:rsidRPr="00CE3202">
        <w:rPr>
          <w:b/>
          <w:bCs/>
          <w:sz w:val="28"/>
          <w:szCs w:val="28"/>
        </w:rPr>
        <w:t>……………………………...</w:t>
      </w:r>
      <w:r w:rsidR="005E35B7" w:rsidRPr="00CE3202">
        <w:rPr>
          <w:b/>
          <w:bCs/>
          <w:sz w:val="28"/>
          <w:szCs w:val="28"/>
        </w:rPr>
        <w:t>p</w:t>
      </w:r>
      <w:r w:rsidR="00577E98">
        <w:rPr>
          <w:b/>
          <w:bCs/>
          <w:sz w:val="28"/>
          <w:szCs w:val="28"/>
        </w:rPr>
        <w:t>11</w:t>
      </w:r>
    </w:p>
    <w:p w14:paraId="6EBD43B8" w14:textId="77777777" w:rsidR="00593EB8" w:rsidRPr="00593EB8" w:rsidRDefault="00593EB8" w:rsidP="00593EB8">
      <w:pPr>
        <w:pStyle w:val="ListParagraph"/>
        <w:rPr>
          <w:b/>
          <w:bCs/>
          <w:sz w:val="28"/>
          <w:szCs w:val="28"/>
        </w:rPr>
      </w:pPr>
    </w:p>
    <w:p w14:paraId="2121D8A5" w14:textId="41F3F2C7" w:rsidR="001535E1" w:rsidRPr="00593EB8" w:rsidRDefault="00A93DC9" w:rsidP="00593EB8">
      <w:pPr>
        <w:pStyle w:val="ListParagraph"/>
        <w:numPr>
          <w:ilvl w:val="0"/>
          <w:numId w:val="10"/>
        </w:numPr>
        <w:ind w:left="357" w:hanging="357"/>
        <w:rPr>
          <w:b/>
          <w:bCs/>
          <w:sz w:val="28"/>
          <w:szCs w:val="28"/>
        </w:rPr>
      </w:pPr>
      <w:r w:rsidRPr="00593EB8">
        <w:rPr>
          <w:b/>
          <w:bCs/>
          <w:sz w:val="28"/>
          <w:szCs w:val="28"/>
        </w:rPr>
        <w:t>Governance calendar</w:t>
      </w:r>
      <w:r w:rsidR="00197731" w:rsidRPr="00593EB8">
        <w:rPr>
          <w:b/>
          <w:bCs/>
          <w:sz w:val="28"/>
          <w:szCs w:val="28"/>
        </w:rPr>
        <w:t>…………………………………</w:t>
      </w:r>
      <w:proofErr w:type="gramStart"/>
      <w:r w:rsidR="00197731" w:rsidRPr="00593EB8">
        <w:rPr>
          <w:b/>
          <w:bCs/>
          <w:sz w:val="28"/>
          <w:szCs w:val="28"/>
        </w:rPr>
        <w:t>….</w:t>
      </w:r>
      <w:r w:rsidR="004D36F4" w:rsidRPr="00593EB8">
        <w:rPr>
          <w:b/>
          <w:bCs/>
          <w:sz w:val="28"/>
          <w:szCs w:val="28"/>
        </w:rPr>
        <w:t>p</w:t>
      </w:r>
      <w:proofErr w:type="gramEnd"/>
      <w:r w:rsidR="006E1DFD" w:rsidRPr="00593EB8">
        <w:rPr>
          <w:b/>
          <w:bCs/>
          <w:sz w:val="28"/>
          <w:szCs w:val="28"/>
        </w:rPr>
        <w:t>1</w:t>
      </w:r>
      <w:r w:rsidR="005E7642">
        <w:rPr>
          <w:b/>
          <w:bCs/>
          <w:sz w:val="28"/>
          <w:szCs w:val="28"/>
        </w:rPr>
        <w:t>2</w:t>
      </w:r>
    </w:p>
    <w:p w14:paraId="02A133DF" w14:textId="77777777" w:rsidR="00CE3202" w:rsidRPr="00CE3202" w:rsidRDefault="00CE3202" w:rsidP="00CE3202">
      <w:pPr>
        <w:pStyle w:val="ListParagraph"/>
        <w:rPr>
          <w:b/>
          <w:bCs/>
          <w:sz w:val="28"/>
          <w:szCs w:val="28"/>
        </w:rPr>
      </w:pPr>
    </w:p>
    <w:p w14:paraId="59E1C006" w14:textId="40027FE0" w:rsidR="00986B8A" w:rsidRDefault="00545913" w:rsidP="00CE3202">
      <w:pPr>
        <w:pStyle w:val="ListParagraph"/>
        <w:numPr>
          <w:ilvl w:val="0"/>
          <w:numId w:val="10"/>
        </w:numPr>
        <w:ind w:left="357" w:hanging="357"/>
        <w:rPr>
          <w:b/>
          <w:bCs/>
          <w:sz w:val="28"/>
          <w:szCs w:val="28"/>
        </w:rPr>
      </w:pPr>
      <w:r w:rsidRPr="00CE3202">
        <w:rPr>
          <w:b/>
          <w:bCs/>
          <w:sz w:val="28"/>
          <w:szCs w:val="28"/>
        </w:rPr>
        <w:t>The importance of the agenda</w:t>
      </w:r>
      <w:r w:rsidR="00197731" w:rsidRPr="00CE3202">
        <w:rPr>
          <w:b/>
          <w:bCs/>
          <w:sz w:val="28"/>
          <w:szCs w:val="28"/>
        </w:rPr>
        <w:t>………………………</w:t>
      </w:r>
      <w:proofErr w:type="gramStart"/>
      <w:r w:rsidR="00197731" w:rsidRPr="00CE3202">
        <w:rPr>
          <w:b/>
          <w:bCs/>
          <w:sz w:val="28"/>
          <w:szCs w:val="28"/>
        </w:rPr>
        <w:t>….</w:t>
      </w:r>
      <w:r w:rsidR="008342DB" w:rsidRPr="00CE3202">
        <w:rPr>
          <w:b/>
          <w:bCs/>
          <w:sz w:val="28"/>
          <w:szCs w:val="28"/>
        </w:rPr>
        <w:t>p</w:t>
      </w:r>
      <w:proofErr w:type="gramEnd"/>
      <w:r w:rsidR="006E1DFD">
        <w:rPr>
          <w:b/>
          <w:bCs/>
          <w:sz w:val="28"/>
          <w:szCs w:val="28"/>
        </w:rPr>
        <w:t>1</w:t>
      </w:r>
      <w:r w:rsidR="005E7642">
        <w:rPr>
          <w:b/>
          <w:bCs/>
          <w:sz w:val="28"/>
          <w:szCs w:val="28"/>
        </w:rPr>
        <w:t>3</w:t>
      </w:r>
    </w:p>
    <w:p w14:paraId="4C70EC8D" w14:textId="77777777" w:rsidR="00CE3202" w:rsidRPr="00CE3202" w:rsidRDefault="00CE3202" w:rsidP="00CE3202">
      <w:pPr>
        <w:pStyle w:val="ListParagraph"/>
        <w:rPr>
          <w:b/>
          <w:bCs/>
          <w:sz w:val="28"/>
          <w:szCs w:val="28"/>
        </w:rPr>
      </w:pPr>
    </w:p>
    <w:p w14:paraId="1E502EA7" w14:textId="2C058A5A" w:rsidR="008440A4" w:rsidRDefault="004F201E" w:rsidP="00CE3202">
      <w:pPr>
        <w:pStyle w:val="ListParagraph"/>
        <w:numPr>
          <w:ilvl w:val="0"/>
          <w:numId w:val="10"/>
        </w:numPr>
        <w:ind w:left="357" w:hanging="357"/>
        <w:rPr>
          <w:b/>
          <w:bCs/>
          <w:sz w:val="28"/>
          <w:szCs w:val="28"/>
        </w:rPr>
      </w:pPr>
      <w:r w:rsidRPr="00CE3202">
        <w:rPr>
          <w:b/>
          <w:bCs/>
          <w:sz w:val="28"/>
          <w:szCs w:val="28"/>
        </w:rPr>
        <w:t>Final thoughts on reporting to the GB</w:t>
      </w:r>
      <w:r w:rsidR="00197731" w:rsidRPr="00CE3202">
        <w:rPr>
          <w:b/>
          <w:bCs/>
          <w:sz w:val="28"/>
          <w:szCs w:val="28"/>
        </w:rPr>
        <w:t>…………</w:t>
      </w:r>
      <w:proofErr w:type="gramStart"/>
      <w:r w:rsidR="00197731" w:rsidRPr="00CE3202">
        <w:rPr>
          <w:b/>
          <w:bCs/>
          <w:sz w:val="28"/>
          <w:szCs w:val="28"/>
        </w:rPr>
        <w:t>….</w:t>
      </w:r>
      <w:r w:rsidR="008342DB" w:rsidRPr="00CE3202">
        <w:rPr>
          <w:b/>
          <w:bCs/>
          <w:sz w:val="28"/>
          <w:szCs w:val="28"/>
        </w:rPr>
        <w:t>p</w:t>
      </w:r>
      <w:proofErr w:type="gramEnd"/>
      <w:r w:rsidR="006E1DFD">
        <w:rPr>
          <w:b/>
          <w:bCs/>
          <w:sz w:val="28"/>
          <w:szCs w:val="28"/>
        </w:rPr>
        <w:t>1</w:t>
      </w:r>
      <w:r w:rsidR="005E7642">
        <w:rPr>
          <w:b/>
          <w:bCs/>
          <w:sz w:val="28"/>
          <w:szCs w:val="28"/>
        </w:rPr>
        <w:t>5</w:t>
      </w:r>
    </w:p>
    <w:p w14:paraId="71548BD5" w14:textId="77777777" w:rsidR="00CE3202" w:rsidRPr="00CE3202" w:rsidRDefault="00CE3202" w:rsidP="00CE3202">
      <w:pPr>
        <w:pStyle w:val="ListParagraph"/>
        <w:rPr>
          <w:b/>
          <w:bCs/>
          <w:sz w:val="28"/>
          <w:szCs w:val="28"/>
        </w:rPr>
      </w:pPr>
    </w:p>
    <w:p w14:paraId="30A3961B" w14:textId="77FD0519" w:rsidR="00CE3202" w:rsidRDefault="007F6535" w:rsidP="00CE3202">
      <w:pPr>
        <w:pStyle w:val="ListParagraph"/>
        <w:numPr>
          <w:ilvl w:val="0"/>
          <w:numId w:val="10"/>
        </w:numPr>
        <w:ind w:left="357" w:hanging="357"/>
        <w:rPr>
          <w:b/>
          <w:bCs/>
          <w:sz w:val="28"/>
          <w:szCs w:val="28"/>
        </w:rPr>
      </w:pPr>
      <w:r w:rsidRPr="00CE3202">
        <w:rPr>
          <w:b/>
          <w:bCs/>
          <w:sz w:val="28"/>
          <w:szCs w:val="28"/>
        </w:rPr>
        <w:t>Further reading</w:t>
      </w:r>
      <w:r w:rsidR="00197731" w:rsidRPr="00CE3202">
        <w:rPr>
          <w:b/>
          <w:bCs/>
          <w:sz w:val="28"/>
          <w:szCs w:val="28"/>
        </w:rPr>
        <w:t>……………………………………</w:t>
      </w:r>
      <w:proofErr w:type="gramStart"/>
      <w:r w:rsidR="00197731" w:rsidRPr="00CE3202">
        <w:rPr>
          <w:b/>
          <w:bCs/>
          <w:sz w:val="28"/>
          <w:szCs w:val="28"/>
        </w:rPr>
        <w:t>…</w:t>
      </w:r>
      <w:r w:rsidR="008F74E8" w:rsidRPr="00CE3202">
        <w:rPr>
          <w:b/>
          <w:bCs/>
          <w:sz w:val="28"/>
          <w:szCs w:val="28"/>
        </w:rPr>
        <w:t>..</w:t>
      </w:r>
      <w:proofErr w:type="gramEnd"/>
      <w:r w:rsidR="008F74E8" w:rsidRPr="00CE3202">
        <w:rPr>
          <w:b/>
          <w:bCs/>
          <w:sz w:val="28"/>
          <w:szCs w:val="28"/>
        </w:rPr>
        <w:tab/>
      </w:r>
      <w:r w:rsidR="008342DB" w:rsidRPr="00CE3202">
        <w:rPr>
          <w:b/>
          <w:bCs/>
          <w:sz w:val="28"/>
          <w:szCs w:val="28"/>
        </w:rPr>
        <w:t>p</w:t>
      </w:r>
      <w:r w:rsidR="006E1DFD">
        <w:rPr>
          <w:b/>
          <w:bCs/>
          <w:sz w:val="28"/>
          <w:szCs w:val="28"/>
        </w:rPr>
        <w:t>1</w:t>
      </w:r>
      <w:r w:rsidR="005E7642">
        <w:rPr>
          <w:b/>
          <w:bCs/>
          <w:sz w:val="28"/>
          <w:szCs w:val="28"/>
        </w:rPr>
        <w:t>7</w:t>
      </w:r>
    </w:p>
    <w:p w14:paraId="63652993" w14:textId="77777777" w:rsidR="00EE2964" w:rsidRPr="00EE2964" w:rsidRDefault="00EE2964" w:rsidP="00EE2964">
      <w:pPr>
        <w:pStyle w:val="ListParagraph"/>
        <w:rPr>
          <w:b/>
          <w:bCs/>
          <w:sz w:val="28"/>
          <w:szCs w:val="28"/>
        </w:rPr>
      </w:pPr>
    </w:p>
    <w:p w14:paraId="1FB1946C" w14:textId="25F8BF46" w:rsidR="007E76F1" w:rsidRPr="007E76F1" w:rsidRDefault="007F6535" w:rsidP="007E76F1">
      <w:pPr>
        <w:rPr>
          <w:b/>
          <w:bCs/>
          <w:sz w:val="28"/>
          <w:szCs w:val="28"/>
        </w:rPr>
      </w:pPr>
      <w:r w:rsidRPr="001535E1">
        <w:rPr>
          <w:b/>
          <w:bCs/>
          <w:sz w:val="28"/>
          <w:szCs w:val="28"/>
        </w:rPr>
        <w:t>Appendix A</w:t>
      </w:r>
      <w:r w:rsidR="001E2214">
        <w:rPr>
          <w:b/>
          <w:bCs/>
          <w:sz w:val="28"/>
          <w:szCs w:val="28"/>
        </w:rPr>
        <w:t xml:space="preserve"> - </w:t>
      </w:r>
      <w:r w:rsidR="007E76F1" w:rsidRPr="007E76F1">
        <w:rPr>
          <w:b/>
          <w:bCs/>
          <w:sz w:val="28"/>
          <w:szCs w:val="28"/>
        </w:rPr>
        <w:t xml:space="preserve">Getting the most from an Impact Assessment or </w:t>
      </w:r>
      <w:r w:rsidR="006F488D">
        <w:rPr>
          <w:b/>
          <w:bCs/>
          <w:sz w:val="28"/>
          <w:szCs w:val="28"/>
        </w:rPr>
        <w:t xml:space="preserve">   </w:t>
      </w:r>
      <w:r w:rsidR="007E76F1" w:rsidRPr="007E76F1">
        <w:rPr>
          <w:b/>
          <w:bCs/>
          <w:sz w:val="28"/>
          <w:szCs w:val="28"/>
        </w:rPr>
        <w:t>Report Summary template</w:t>
      </w:r>
      <w:r w:rsidR="001E2214">
        <w:rPr>
          <w:b/>
          <w:bCs/>
          <w:sz w:val="28"/>
          <w:szCs w:val="28"/>
        </w:rPr>
        <w:t>………………………………</w:t>
      </w:r>
      <w:proofErr w:type="gramStart"/>
      <w:r w:rsidR="001E2214">
        <w:rPr>
          <w:b/>
          <w:bCs/>
          <w:sz w:val="28"/>
          <w:szCs w:val="28"/>
        </w:rPr>
        <w:t>….</w:t>
      </w:r>
      <w:r w:rsidR="008342DB">
        <w:rPr>
          <w:b/>
          <w:bCs/>
          <w:sz w:val="28"/>
          <w:szCs w:val="28"/>
        </w:rPr>
        <w:t>p</w:t>
      </w:r>
      <w:proofErr w:type="gramEnd"/>
      <w:r w:rsidR="006E1DFD">
        <w:rPr>
          <w:b/>
          <w:bCs/>
          <w:sz w:val="28"/>
          <w:szCs w:val="28"/>
        </w:rPr>
        <w:t>1</w:t>
      </w:r>
      <w:r w:rsidR="005E7642">
        <w:rPr>
          <w:b/>
          <w:bCs/>
          <w:sz w:val="28"/>
          <w:szCs w:val="28"/>
        </w:rPr>
        <w:t>8</w:t>
      </w:r>
    </w:p>
    <w:p w14:paraId="7CF3DD4E" w14:textId="7A97A91B" w:rsidR="00197731" w:rsidRPr="001535E1" w:rsidRDefault="00197731" w:rsidP="00734834">
      <w:pPr>
        <w:rPr>
          <w:b/>
          <w:bCs/>
          <w:sz w:val="28"/>
          <w:szCs w:val="28"/>
        </w:rPr>
      </w:pPr>
    </w:p>
    <w:p w14:paraId="518592F5" w14:textId="77777777" w:rsidR="0042116D" w:rsidRDefault="0042116D" w:rsidP="00734834"/>
    <w:p w14:paraId="0F90A621" w14:textId="77777777" w:rsidR="005523ED" w:rsidRDefault="005523ED" w:rsidP="00734834"/>
    <w:p w14:paraId="244989CB" w14:textId="77777777" w:rsidR="00F07DA8" w:rsidRDefault="00F07DA8" w:rsidP="00734834"/>
    <w:p w14:paraId="57F55447" w14:textId="77777777" w:rsidR="00480608" w:rsidRDefault="00480608" w:rsidP="00734834"/>
    <w:p w14:paraId="20D5BFE4" w14:textId="77777777" w:rsidR="00734834" w:rsidRDefault="00734834" w:rsidP="00734834"/>
    <w:p w14:paraId="3D159E14" w14:textId="690A2297" w:rsidR="00734834" w:rsidRPr="00734834" w:rsidRDefault="00734834" w:rsidP="00734834">
      <w:pPr>
        <w:sectPr w:rsidR="00734834" w:rsidRPr="00734834">
          <w:headerReference w:type="default" r:id="rId11"/>
          <w:footerReference w:type="default" r:id="rId12"/>
          <w:pgSz w:w="11906" w:h="16838"/>
          <w:pgMar w:top="1440" w:right="1440" w:bottom="1440" w:left="1440" w:header="708" w:footer="708" w:gutter="0"/>
          <w:cols w:space="708"/>
          <w:docGrid w:linePitch="360"/>
        </w:sectPr>
      </w:pPr>
    </w:p>
    <w:p w14:paraId="61A3F775" w14:textId="579FA1AE" w:rsidR="007F060A" w:rsidRPr="008242A0" w:rsidRDefault="007F060A" w:rsidP="008242A0">
      <w:pPr>
        <w:pStyle w:val="Heading2"/>
        <w:numPr>
          <w:ilvl w:val="0"/>
          <w:numId w:val="11"/>
        </w:numPr>
        <w:ind w:left="357" w:hanging="357"/>
        <w:rPr>
          <w:rFonts w:ascii="Arial" w:hAnsi="Arial" w:cs="Arial"/>
          <w:b/>
          <w:bCs/>
        </w:rPr>
      </w:pPr>
      <w:r w:rsidRPr="008242A0">
        <w:rPr>
          <w:rFonts w:ascii="Arial" w:hAnsi="Arial" w:cs="Arial"/>
          <w:b/>
          <w:bCs/>
        </w:rPr>
        <w:lastRenderedPageBreak/>
        <w:t>Introduction</w:t>
      </w:r>
    </w:p>
    <w:p w14:paraId="5485C9E4" w14:textId="0671B629" w:rsidR="00507309" w:rsidRDefault="00507309">
      <w:r>
        <w:t xml:space="preserve">Effective reporting is </w:t>
      </w:r>
      <w:r w:rsidR="003562D5">
        <w:t>essential to sound</w:t>
      </w:r>
      <w:r>
        <w:t xml:space="preserve"> governance – a key tool in</w:t>
      </w:r>
      <w:r w:rsidR="00EE2964">
        <w:t>:</w:t>
      </w:r>
      <w:r>
        <w:t xml:space="preserve"> </w:t>
      </w:r>
    </w:p>
    <w:p w14:paraId="471CEF59" w14:textId="5AC1B691" w:rsidR="00507309" w:rsidRDefault="00507309" w:rsidP="00BB756D">
      <w:pPr>
        <w:pStyle w:val="ListParagraph"/>
        <w:numPr>
          <w:ilvl w:val="0"/>
          <w:numId w:val="1"/>
        </w:numPr>
      </w:pPr>
      <w:r>
        <w:t xml:space="preserve">establishing and maintaining assurance for the governing body </w:t>
      </w:r>
    </w:p>
    <w:p w14:paraId="30673EB8" w14:textId="11E63868" w:rsidR="00507309" w:rsidRDefault="00507309" w:rsidP="00BB756D">
      <w:pPr>
        <w:pStyle w:val="ListParagraph"/>
        <w:numPr>
          <w:ilvl w:val="0"/>
          <w:numId w:val="1"/>
        </w:numPr>
      </w:pPr>
      <w:r>
        <w:t>evidencing openness for tenants, partners and stakeholders</w:t>
      </w:r>
    </w:p>
    <w:p w14:paraId="25BC4703" w14:textId="116C3C93" w:rsidR="007A2A90" w:rsidRDefault="007A2A90" w:rsidP="00BB756D">
      <w:pPr>
        <w:pStyle w:val="ListParagraph"/>
        <w:numPr>
          <w:ilvl w:val="0"/>
          <w:numId w:val="1"/>
        </w:numPr>
      </w:pPr>
      <w:r>
        <w:t>providing information and analysis to support effective decision-making, risk assessment, strategic and resource planning</w:t>
      </w:r>
    </w:p>
    <w:p w14:paraId="7922409A" w14:textId="30763F5D" w:rsidR="007A2A90" w:rsidRDefault="007A2A90" w:rsidP="00BB756D">
      <w:pPr>
        <w:pStyle w:val="ListParagraph"/>
        <w:numPr>
          <w:ilvl w:val="0"/>
          <w:numId w:val="1"/>
        </w:numPr>
      </w:pPr>
      <w:r>
        <w:t>supporting performance and compliance oversight</w:t>
      </w:r>
    </w:p>
    <w:p w14:paraId="47FF0893" w14:textId="37C4A9F0" w:rsidR="007A2A90" w:rsidRDefault="007A2A90" w:rsidP="00BB756D">
      <w:pPr>
        <w:pStyle w:val="ListParagraph"/>
        <w:numPr>
          <w:ilvl w:val="0"/>
          <w:numId w:val="1"/>
        </w:numPr>
      </w:pPr>
      <w:r>
        <w:t>evidencing and ensuring accountability</w:t>
      </w:r>
    </w:p>
    <w:p w14:paraId="72D4A396" w14:textId="423B8EC4" w:rsidR="00507309" w:rsidRDefault="00507309">
      <w:r>
        <w:t>Reports are the basis for strategic planning; they support scrutiny to ensure accountability; to monitor performance and compliance, drive improvement, assess and monitor risk.</w:t>
      </w:r>
      <w:r w:rsidR="00BB756D">
        <w:t xml:space="preserve">  It’s important, therefore, that the format, frequency, style and content of reports combine to ensure </w:t>
      </w:r>
      <w:r w:rsidR="00B920F6">
        <w:t>that they fulfil their purpose effectively. The purpose of each individual report should be explicit; the style and format should be tailored to maximise effectiveness.</w:t>
      </w:r>
    </w:p>
    <w:p w14:paraId="774E2D82" w14:textId="2528F6FC" w:rsidR="00E22C00" w:rsidRDefault="00BB756D">
      <w:r>
        <w:t xml:space="preserve">This guidance forms part of SFHA’s </w:t>
      </w:r>
      <w:hyperlink r:id="rId13" w:history="1">
        <w:r w:rsidRPr="00803DE0">
          <w:rPr>
            <w:rStyle w:val="Hyperlink"/>
          </w:rPr>
          <w:t>Get Governance</w:t>
        </w:r>
      </w:hyperlink>
      <w:r>
        <w:t xml:space="preserve"> series of members’ resources.  It was suggested as a guidance topic by the Governance Forum</w:t>
      </w:r>
      <w:r w:rsidR="00B263F0">
        <w:t>:</w:t>
      </w:r>
      <w:r>
        <w:t xml:space="preserve"> the drafting has been supported </w:t>
      </w:r>
      <w:r w:rsidR="006D45E2">
        <w:t xml:space="preserve">by </w:t>
      </w:r>
      <w:r>
        <w:t xml:space="preserve">a members’ working group </w:t>
      </w:r>
      <w:r w:rsidR="00B263F0">
        <w:t xml:space="preserve">whose </w:t>
      </w:r>
      <w:r>
        <w:t>comments have been extremely valuable</w:t>
      </w:r>
      <w:r w:rsidR="00B263F0">
        <w:t>.</w:t>
      </w:r>
      <w:r>
        <w:t xml:space="preserve">  </w:t>
      </w:r>
      <w:r w:rsidR="00E22C00">
        <w:t>It is intended to support</w:t>
      </w:r>
      <w:r w:rsidR="00E1798D">
        <w:t xml:space="preserve"> and be useful to</w:t>
      </w:r>
      <w:r w:rsidR="00E22C00">
        <w:t>:</w:t>
      </w:r>
    </w:p>
    <w:p w14:paraId="462280D6" w14:textId="5BB42BB6" w:rsidR="00BB756D" w:rsidRDefault="00E22C00" w:rsidP="00E1798D">
      <w:pPr>
        <w:pStyle w:val="ListParagraph"/>
        <w:numPr>
          <w:ilvl w:val="0"/>
          <w:numId w:val="4"/>
        </w:numPr>
      </w:pPr>
      <w:r>
        <w:t>staff who are responsible for supporting RSLs</w:t>
      </w:r>
      <w:r w:rsidR="00E1798D">
        <w:t>’</w:t>
      </w:r>
      <w:r>
        <w:t xml:space="preserve"> governance </w:t>
      </w:r>
    </w:p>
    <w:p w14:paraId="0671B2A3" w14:textId="03F4FCDD" w:rsidR="00E1798D" w:rsidRDefault="00E1798D" w:rsidP="00E1798D">
      <w:pPr>
        <w:pStyle w:val="ListParagraph"/>
        <w:numPr>
          <w:ilvl w:val="0"/>
          <w:numId w:val="4"/>
        </w:numPr>
      </w:pPr>
      <w:r>
        <w:t>p</w:t>
      </w:r>
      <w:r w:rsidR="00E22C00">
        <w:t>rincipal</w:t>
      </w:r>
      <w:r>
        <w:t xml:space="preserve"> advisers</w:t>
      </w:r>
      <w:r w:rsidR="00450DAD">
        <w:t>/lead officers</w:t>
      </w:r>
      <w:r w:rsidR="006D45E2">
        <w:rPr>
          <w:rStyle w:val="FootnoteReference"/>
        </w:rPr>
        <w:footnoteReference w:id="1"/>
      </w:r>
      <w:r>
        <w:t xml:space="preserve"> to </w:t>
      </w:r>
      <w:r w:rsidR="00450DAD">
        <w:t xml:space="preserve">the </w:t>
      </w:r>
      <w:r>
        <w:t>G</w:t>
      </w:r>
      <w:r w:rsidR="00450DAD">
        <w:t xml:space="preserve">overning </w:t>
      </w:r>
      <w:r>
        <w:t>B</w:t>
      </w:r>
      <w:r w:rsidR="00450DAD">
        <w:t>ody (GB)</w:t>
      </w:r>
      <w:r>
        <w:t>, sub-committees and working groups</w:t>
      </w:r>
    </w:p>
    <w:p w14:paraId="1D3A6A93" w14:textId="77777777" w:rsidR="00E1798D" w:rsidRDefault="00E1798D" w:rsidP="00E1798D">
      <w:pPr>
        <w:pStyle w:val="ListParagraph"/>
        <w:numPr>
          <w:ilvl w:val="0"/>
          <w:numId w:val="4"/>
        </w:numPr>
      </w:pPr>
      <w:r>
        <w:t>Chairs</w:t>
      </w:r>
    </w:p>
    <w:p w14:paraId="3DE33BDA" w14:textId="4C5A2E52" w:rsidR="00E22C00" w:rsidRDefault="00E1798D" w:rsidP="00E1798D">
      <w:pPr>
        <w:pStyle w:val="ListParagraph"/>
        <w:numPr>
          <w:ilvl w:val="0"/>
          <w:numId w:val="4"/>
        </w:numPr>
      </w:pPr>
      <w:r>
        <w:t>G</w:t>
      </w:r>
      <w:r w:rsidR="00450DAD">
        <w:t xml:space="preserve">overning </w:t>
      </w:r>
      <w:r>
        <w:t>B</w:t>
      </w:r>
      <w:r w:rsidR="00450DAD">
        <w:t xml:space="preserve">ody </w:t>
      </w:r>
      <w:r>
        <w:t>M</w:t>
      </w:r>
      <w:r w:rsidR="00450DAD">
        <w:t>ember</w:t>
      </w:r>
      <w:r>
        <w:t>s</w:t>
      </w:r>
      <w:r w:rsidR="00450DAD">
        <w:t xml:space="preserve"> (GBMs)</w:t>
      </w:r>
      <w:r w:rsidR="00E22C00">
        <w:t xml:space="preserve"> </w:t>
      </w:r>
    </w:p>
    <w:p w14:paraId="3CD522E4" w14:textId="77777777" w:rsidR="00981035" w:rsidRDefault="00981035">
      <w:r>
        <w:t xml:space="preserve">SFHA’s thanks go to its members, who have been generous with their contributions about their own reporting styles and practices.  </w:t>
      </w:r>
    </w:p>
    <w:p w14:paraId="47750EC7" w14:textId="68956148" w:rsidR="00B263F0" w:rsidRDefault="00B263F0">
      <w:r>
        <w:t>As with each of the components of the Get Governance series, this guidance on reporting is advisory, not prescriptive</w:t>
      </w:r>
      <w:r w:rsidR="007E5DBC">
        <w:t xml:space="preserve"> and</w:t>
      </w:r>
      <w:r w:rsidR="007A0038">
        <w:t xml:space="preserve"> it aims to offer good practice advice based on sector experience</w:t>
      </w:r>
      <w:r>
        <w:t xml:space="preserve">.  </w:t>
      </w:r>
      <w:r w:rsidR="007E4EC9">
        <w:t>It is important to acknowledge that r</w:t>
      </w:r>
      <w:r>
        <w:t xml:space="preserve">eporting </w:t>
      </w:r>
      <w:r w:rsidR="007E4EC9">
        <w:t>arrangements are</w:t>
      </w:r>
      <w:r>
        <w:t xml:space="preserve"> specific to individual organisations</w:t>
      </w:r>
      <w:r w:rsidR="00B920F6">
        <w:t>,</w:t>
      </w:r>
      <w:r>
        <w:t xml:space="preserve"> which </w:t>
      </w:r>
      <w:r w:rsidR="00CF6908">
        <w:t>should</w:t>
      </w:r>
      <w:r>
        <w:t xml:space="preserve"> develop their governance structures and reporting styles</w:t>
      </w:r>
      <w:r w:rsidR="00CF2C29">
        <w:t xml:space="preserve"> to </w:t>
      </w:r>
      <w:r w:rsidR="0055198F">
        <w:t>meet</w:t>
      </w:r>
      <w:r w:rsidR="00CF2C29">
        <w:t xml:space="preserve"> their specific needs</w:t>
      </w:r>
      <w:r>
        <w:t>.  The guidance is intended to support organisations to review their established arrangements, perhaps as part of a periodic governance ‘health check’</w:t>
      </w:r>
      <w:r w:rsidR="00B267B4">
        <w:t>,</w:t>
      </w:r>
      <w:r>
        <w:t xml:space="preserve"> or </w:t>
      </w:r>
      <w:proofErr w:type="gramStart"/>
      <w:r>
        <w:t>as a consequence of</w:t>
      </w:r>
      <w:proofErr w:type="gramEnd"/>
      <w:r>
        <w:t xml:space="preserve"> feedback from Board member annual reviews</w:t>
      </w:r>
      <w:r w:rsidR="00F12E43">
        <w:t>,</w:t>
      </w:r>
      <w:r>
        <w:t xml:space="preserve"> or to take forward recommendations from internal audits</w:t>
      </w:r>
      <w:r w:rsidR="00CF6908">
        <w:rPr>
          <w:rStyle w:val="FootnoteReference"/>
        </w:rPr>
        <w:footnoteReference w:id="2"/>
      </w:r>
      <w:r>
        <w:t>.</w:t>
      </w:r>
      <w:r w:rsidR="002240CE">
        <w:t xml:space="preserve"> </w:t>
      </w:r>
      <w:r>
        <w:t xml:space="preserve"> It has been informed by sector experience of what works – and </w:t>
      </w:r>
      <w:r>
        <w:lastRenderedPageBreak/>
        <w:t>what does</w:t>
      </w:r>
      <w:r w:rsidR="00F55933">
        <w:t xml:space="preserve"> no</w:t>
      </w:r>
      <w:r>
        <w:t xml:space="preserve">t </w:t>
      </w:r>
      <w:r w:rsidR="00B920F6">
        <w:t xml:space="preserve">- </w:t>
      </w:r>
      <w:r>
        <w:t>and includes some tips to help identify opportunities for improvement as well as tackling common challenges.</w:t>
      </w:r>
    </w:p>
    <w:p w14:paraId="535DC1F3" w14:textId="3BBE92D7" w:rsidR="00B920F6" w:rsidRDefault="008B5E91">
      <w:r>
        <w:t>The guidance is intended to be relevant to staff and GBMs and its principles apply equally to reporting to the GB, sub-committees and working groups that form part of the governance structure</w:t>
      </w:r>
      <w:r>
        <w:rPr>
          <w:rStyle w:val="FootnoteReference"/>
        </w:rPr>
        <w:footnoteReference w:id="3"/>
      </w:r>
      <w:r>
        <w:t>.  It</w:t>
      </w:r>
      <w:r w:rsidR="0019103D">
        <w:t xml:space="preserve"> </w:t>
      </w:r>
      <w:r>
        <w:t xml:space="preserve">includes </w:t>
      </w:r>
      <w:r w:rsidR="00AF758D">
        <w:t>‘Aim to…’ and ‘Aim to avoid…’ sections</w:t>
      </w:r>
      <w:r>
        <w:t>,</w:t>
      </w:r>
      <w:r w:rsidR="00AF758D">
        <w:t xml:space="preserve"> as well as ‘watchpoints’ and potential </w:t>
      </w:r>
      <w:r w:rsidR="00BC4957">
        <w:t>‘</w:t>
      </w:r>
      <w:r w:rsidR="00AF758D">
        <w:t xml:space="preserve">flags’, together with potential solutions and techniques – all informed by sector experience. </w:t>
      </w:r>
      <w:r w:rsidR="007E7062">
        <w:t xml:space="preserve"> </w:t>
      </w:r>
      <w:r w:rsidR="00AF758D">
        <w:t xml:space="preserve">Of course, the reporting and regulatory requirements that apply to all RSLs are central to the guidance. </w:t>
      </w:r>
      <w:r w:rsidR="0041647B">
        <w:t xml:space="preserve"> </w:t>
      </w:r>
    </w:p>
    <w:p w14:paraId="02793D5A" w14:textId="54A4D406" w:rsidR="00E2593C" w:rsidRDefault="0041647B">
      <w:r>
        <w:t>SFHA’s</w:t>
      </w:r>
      <w:r w:rsidR="00E2593C">
        <w:t xml:space="preserve"> Get Governance series includes advice on ‘Getting the Balance Right’</w:t>
      </w:r>
      <w:r w:rsidR="00E2593C">
        <w:rPr>
          <w:rStyle w:val="FootnoteReference"/>
        </w:rPr>
        <w:footnoteReference w:id="4"/>
      </w:r>
      <w:r w:rsidR="00E2593C">
        <w:t xml:space="preserve">  </w:t>
      </w:r>
      <w:r w:rsidR="008B5E91">
        <w:t>which is relevant to effective reporting and should be considered alongside this guidance; it</w:t>
      </w:r>
      <w:r w:rsidR="0019103D">
        <w:t xml:space="preserve"> considers the respective strategic and operational responsibilities of the governing body and senior staff</w:t>
      </w:r>
      <w:r w:rsidR="009452E7">
        <w:t xml:space="preserve">.  </w:t>
      </w:r>
    </w:p>
    <w:p w14:paraId="363B5DFB" w14:textId="77777777" w:rsidR="003D4A45" w:rsidRDefault="003D4A45"/>
    <w:p w14:paraId="715538C4" w14:textId="7CDEA4B5" w:rsidR="00160534" w:rsidRPr="00CB1795" w:rsidRDefault="00160534" w:rsidP="00CB1795">
      <w:pPr>
        <w:pStyle w:val="Heading2"/>
        <w:numPr>
          <w:ilvl w:val="0"/>
          <w:numId w:val="11"/>
        </w:numPr>
        <w:ind w:left="357" w:hanging="357"/>
        <w:rPr>
          <w:rFonts w:ascii="Arial" w:hAnsi="Arial" w:cs="Arial"/>
          <w:b/>
          <w:bCs/>
        </w:rPr>
      </w:pPr>
      <w:r w:rsidRPr="00CB1795">
        <w:rPr>
          <w:rFonts w:ascii="Arial" w:hAnsi="Arial" w:cs="Arial"/>
          <w:b/>
          <w:bCs/>
        </w:rPr>
        <w:t>Key Components of Effective Reporting</w:t>
      </w:r>
    </w:p>
    <w:p w14:paraId="312B92F5" w14:textId="3466DA3E" w:rsidR="00160534" w:rsidRDefault="00DA156E">
      <w:r>
        <w:t>Reports should have a clear</w:t>
      </w:r>
      <w:r w:rsidR="00B56721">
        <w:t>, active</w:t>
      </w:r>
      <w:r>
        <w:t xml:space="preserve"> </w:t>
      </w:r>
      <w:r w:rsidRPr="008B5E91">
        <w:rPr>
          <w:b/>
          <w:bCs/>
        </w:rPr>
        <w:t>purpose</w:t>
      </w:r>
      <w:r>
        <w:t xml:space="preserve">, </w:t>
      </w:r>
      <w:r w:rsidR="008B5E91">
        <w:t xml:space="preserve">which is explicit and </w:t>
      </w:r>
      <w:r>
        <w:t>understood by both the author and the reader</w:t>
      </w:r>
      <w:r w:rsidR="008B5E91">
        <w:t>.  There should be</w:t>
      </w:r>
      <w:r>
        <w:t xml:space="preserve"> a </w:t>
      </w:r>
      <w:r w:rsidR="00160534">
        <w:t xml:space="preserve">clear </w:t>
      </w:r>
      <w:r>
        <w:t xml:space="preserve">statement </w:t>
      </w:r>
      <w:r w:rsidR="00160534">
        <w:t xml:space="preserve">of what the report seeks to achieve </w:t>
      </w:r>
      <w:r w:rsidR="00987EDC">
        <w:t xml:space="preserve">and the outcome that is expected from the GB’s consideration </w:t>
      </w:r>
      <w:r w:rsidR="00160534">
        <w:t xml:space="preserve">e.g. </w:t>
      </w:r>
      <w:r w:rsidR="00160534" w:rsidRPr="00B76C10">
        <w:rPr>
          <w:b/>
          <w:bCs/>
        </w:rPr>
        <w:t>decide</w:t>
      </w:r>
      <w:r w:rsidR="00160534">
        <w:t xml:space="preserve"> proposed rent increase; </w:t>
      </w:r>
      <w:r w:rsidR="00160534" w:rsidRPr="00B76C10">
        <w:rPr>
          <w:b/>
          <w:bCs/>
        </w:rPr>
        <w:t xml:space="preserve">monitor </w:t>
      </w:r>
      <w:r w:rsidR="00B76C10">
        <w:rPr>
          <w:b/>
          <w:bCs/>
        </w:rPr>
        <w:t xml:space="preserve">(and/or oversee) </w:t>
      </w:r>
      <w:r w:rsidR="00160534">
        <w:t>performance;</w:t>
      </w:r>
      <w:r>
        <w:t xml:space="preserve"> provide </w:t>
      </w:r>
      <w:r w:rsidRPr="00DA156E">
        <w:rPr>
          <w:b/>
          <w:bCs/>
        </w:rPr>
        <w:t>assurance</w:t>
      </w:r>
      <w:r>
        <w:t xml:space="preserve"> (e.g. of compliance, implementation)</w:t>
      </w:r>
      <w:r w:rsidR="00160534">
        <w:t xml:space="preserve">; </w:t>
      </w:r>
      <w:r w:rsidR="00160534" w:rsidRPr="00B76C10">
        <w:rPr>
          <w:b/>
          <w:bCs/>
        </w:rPr>
        <w:t>approve</w:t>
      </w:r>
      <w:r w:rsidR="00160534">
        <w:t xml:space="preserve"> budget; </w:t>
      </w:r>
      <w:r w:rsidRPr="00DA156E">
        <w:rPr>
          <w:b/>
          <w:bCs/>
        </w:rPr>
        <w:t>consider /</w:t>
      </w:r>
      <w:r w:rsidR="00160534" w:rsidRPr="00B76C10">
        <w:rPr>
          <w:b/>
          <w:bCs/>
        </w:rPr>
        <w:t>discuss</w:t>
      </w:r>
      <w:r w:rsidR="00160534">
        <w:t xml:space="preserve"> strategic objectives/proposals</w:t>
      </w:r>
    </w:p>
    <w:tbl>
      <w:tblPr>
        <w:tblStyle w:val="TableGrid"/>
        <w:tblW w:w="0" w:type="auto"/>
        <w:tblLook w:val="04A0" w:firstRow="1" w:lastRow="0" w:firstColumn="1" w:lastColumn="0" w:noHBand="0" w:noVBand="1"/>
      </w:tblPr>
      <w:tblGrid>
        <w:gridCol w:w="9016"/>
      </w:tblGrid>
      <w:tr w:rsidR="00B76C10" w14:paraId="1EDB68CC" w14:textId="77777777" w:rsidTr="009B27F9">
        <w:tc>
          <w:tcPr>
            <w:tcW w:w="9016" w:type="dxa"/>
            <w:shd w:val="clear" w:color="auto" w:fill="B4C6E7" w:themeFill="accent1" w:themeFillTint="66"/>
          </w:tcPr>
          <w:p w14:paraId="4271DE18" w14:textId="12887B68" w:rsidR="00B76C10" w:rsidRPr="009B27F9" w:rsidRDefault="00B76C10" w:rsidP="007F060A">
            <w:pPr>
              <w:pStyle w:val="Heading3"/>
              <w:rPr>
                <w:b/>
                <w:bCs/>
                <w:color w:val="auto"/>
              </w:rPr>
            </w:pPr>
            <w:r w:rsidRPr="009B27F9">
              <w:rPr>
                <w:b/>
                <w:bCs/>
                <w:color w:val="auto"/>
              </w:rPr>
              <w:t>Example</w:t>
            </w:r>
            <w:r w:rsidR="00DA156E" w:rsidRPr="009B27F9">
              <w:rPr>
                <w:b/>
                <w:bCs/>
                <w:color w:val="auto"/>
              </w:rPr>
              <w:t>s</w:t>
            </w:r>
          </w:p>
          <w:p w14:paraId="3D8C5DBE" w14:textId="2A380BBD" w:rsidR="00B76C10" w:rsidRDefault="00B76C10" w:rsidP="00C66B7A">
            <w:pPr>
              <w:pStyle w:val="ListParagraph"/>
              <w:numPr>
                <w:ilvl w:val="0"/>
                <w:numId w:val="9"/>
              </w:numPr>
            </w:pPr>
            <w:r>
              <w:t>Th</w:t>
            </w:r>
            <w:r w:rsidR="00DA156E">
              <w:t xml:space="preserve">e GB is asked to </w:t>
            </w:r>
            <w:r w:rsidR="00DA156E" w:rsidRPr="00C66B7A">
              <w:rPr>
                <w:b/>
                <w:bCs/>
              </w:rPr>
              <w:t>approve</w:t>
            </w:r>
            <w:r w:rsidR="009B6E03">
              <w:rPr>
                <w:rStyle w:val="FootnoteReference"/>
                <w:b/>
                <w:bCs/>
              </w:rPr>
              <w:footnoteReference w:id="5"/>
            </w:r>
            <w:r w:rsidR="00DA156E">
              <w:t xml:space="preserve"> </w:t>
            </w:r>
            <w:r w:rsidR="00292FFD">
              <w:t xml:space="preserve">the submission of the ARC / Annual Assurance Statement; </w:t>
            </w:r>
            <w:r w:rsidR="00DA156E" w:rsidRPr="00C66B7A">
              <w:rPr>
                <w:b/>
                <w:bCs/>
              </w:rPr>
              <w:t>consider</w:t>
            </w:r>
            <w:r w:rsidR="00DA156E">
              <w:t xml:space="preserve"> the expansion of the RSL’s tenancy sustainment service</w:t>
            </w:r>
          </w:p>
          <w:p w14:paraId="6E990C69" w14:textId="44F48BFE" w:rsidR="00DA156E" w:rsidRDefault="00DA156E" w:rsidP="00C66B7A">
            <w:pPr>
              <w:pStyle w:val="ListParagraph"/>
              <w:numPr>
                <w:ilvl w:val="0"/>
                <w:numId w:val="9"/>
              </w:numPr>
            </w:pPr>
            <w:r>
              <w:t xml:space="preserve">This report provides </w:t>
            </w:r>
            <w:r w:rsidRPr="00C66B7A">
              <w:rPr>
                <w:b/>
                <w:bCs/>
              </w:rPr>
              <w:t>assurance</w:t>
            </w:r>
            <w:r>
              <w:t xml:space="preserve"> that the RSL </w:t>
            </w:r>
            <w:r w:rsidR="00292FFD">
              <w:t xml:space="preserve">is meeting lenders’ covenants and is compliant with the approved treasury management policy; supports the GB’s </w:t>
            </w:r>
            <w:r w:rsidR="00292FFD" w:rsidRPr="00C66B7A">
              <w:rPr>
                <w:b/>
                <w:bCs/>
              </w:rPr>
              <w:t>monitoring and oversight</w:t>
            </w:r>
            <w:r w:rsidR="00292FFD">
              <w:t xml:space="preserve"> of repairs and maintenance services to tenants against agreed KPIs </w:t>
            </w:r>
          </w:p>
          <w:p w14:paraId="6D9BFE56" w14:textId="58125DFC" w:rsidR="00292FFD" w:rsidRDefault="00292FFD" w:rsidP="00C66B7A">
            <w:pPr>
              <w:pStyle w:val="ListParagraph"/>
              <w:numPr>
                <w:ilvl w:val="0"/>
                <w:numId w:val="9"/>
              </w:numPr>
            </w:pPr>
            <w:r>
              <w:t xml:space="preserve">The GB is asked to </w:t>
            </w:r>
            <w:r w:rsidRPr="00C66B7A">
              <w:rPr>
                <w:b/>
                <w:bCs/>
              </w:rPr>
              <w:t>decide</w:t>
            </w:r>
            <w:r w:rsidR="009B6E03">
              <w:rPr>
                <w:rStyle w:val="FootnoteReference"/>
                <w:b/>
                <w:bCs/>
              </w:rPr>
              <w:footnoteReference w:id="6"/>
            </w:r>
            <w:r w:rsidRPr="00C66B7A">
              <w:rPr>
                <w:b/>
                <w:bCs/>
              </w:rPr>
              <w:t xml:space="preserve"> </w:t>
            </w:r>
            <w:r>
              <w:t>the annual rent increase based on three proposals</w:t>
            </w:r>
            <w:r w:rsidR="00C66B7A">
              <w:t>:</w:t>
            </w:r>
            <w:r>
              <w:t xml:space="preserve"> tenant consultation supported a proposed 5.4% (CPI + 2%) increase</w:t>
            </w:r>
          </w:p>
          <w:p w14:paraId="10080603" w14:textId="79EA17AC" w:rsidR="00292FFD" w:rsidRDefault="00292FFD" w:rsidP="00292FFD"/>
        </w:tc>
      </w:tr>
    </w:tbl>
    <w:p w14:paraId="75112D2F" w14:textId="77777777" w:rsidR="00B76C10" w:rsidRDefault="00B76C10"/>
    <w:p w14:paraId="638DB45B" w14:textId="245063EB" w:rsidR="00B56721" w:rsidRDefault="00B56721">
      <w:r>
        <w:t xml:space="preserve">While most reports are likely to seek a specific outcome (decision, approval, scrutiny), some reports will contribute to decision-making at a later stage in e.g. a strategic planning process.  Reports for discussion are not intended to be the basis </w:t>
      </w:r>
      <w:r>
        <w:lastRenderedPageBreak/>
        <w:t xml:space="preserve">for immediate decisions; </w:t>
      </w:r>
      <w:proofErr w:type="gramStart"/>
      <w:r>
        <w:t>instead</w:t>
      </w:r>
      <w:proofErr w:type="gramEnd"/>
      <w:r>
        <w:t xml:space="preserve"> the</w:t>
      </w:r>
      <w:r w:rsidR="007E4EC9">
        <w:t xml:space="preserve">ir purpose </w:t>
      </w:r>
      <w:r>
        <w:t xml:space="preserve">will </w:t>
      </w:r>
      <w:r w:rsidR="007E4EC9">
        <w:t xml:space="preserve">be to </w:t>
      </w:r>
      <w:r>
        <w:t xml:space="preserve">prompt an exchange of views, consideration of new ideas or outline proposals, compare options to gauge support, gather support for further development/research etc.  Some RSLs introduce discussion papers to periodic planning days; others schedule occasional briefings that are not part of the GB schedule (and </w:t>
      </w:r>
      <w:r w:rsidR="00305766">
        <w:t>may</w:t>
      </w:r>
      <w:r>
        <w:t xml:space="preserve"> not</w:t>
      </w:r>
      <w:r w:rsidR="00305766">
        <w:t xml:space="preserve"> be</w:t>
      </w:r>
      <w:r>
        <w:t xml:space="preserve"> constituted so don’t have decision-making powers); others </w:t>
      </w:r>
      <w:r w:rsidR="00763C61">
        <w:t>plan for such ‘blue-sky</w:t>
      </w:r>
      <w:r w:rsidR="005D14F0">
        <w:t>’</w:t>
      </w:r>
      <w:r w:rsidR="00763C61">
        <w:t xml:space="preserve"> (or kite-flying) discussions at specific GB meetings and manage the ‘normal’ business to accommodate this.  </w:t>
      </w:r>
    </w:p>
    <w:p w14:paraId="3FCEAEB9" w14:textId="65BBF957" w:rsidR="00B411E9" w:rsidRDefault="00E444FC">
      <w:r>
        <w:t>It is important to ensure that t</w:t>
      </w:r>
      <w:r w:rsidR="00987EDC">
        <w:t xml:space="preserve">he </w:t>
      </w:r>
      <w:r w:rsidR="00987EDC" w:rsidRPr="00DC7706">
        <w:rPr>
          <w:b/>
          <w:bCs/>
        </w:rPr>
        <w:t>format</w:t>
      </w:r>
      <w:r w:rsidR="00987EDC">
        <w:t xml:space="preserve"> of reports and </w:t>
      </w:r>
      <w:r w:rsidR="00987EDC" w:rsidRPr="00DC7706">
        <w:rPr>
          <w:b/>
          <w:bCs/>
        </w:rPr>
        <w:t>frequency</w:t>
      </w:r>
      <w:r w:rsidR="00987EDC">
        <w:t xml:space="preserve"> of reporting </w:t>
      </w:r>
      <w:r>
        <w:t xml:space="preserve">are </w:t>
      </w:r>
      <w:r w:rsidR="00987EDC">
        <w:t>both specific and appropriate to their purpose</w:t>
      </w:r>
      <w:r w:rsidR="00D76903">
        <w:t xml:space="preserve">.  Information about performance that is presented as a ‘snapshot’ from several months before and which doesn’t compare reported performance to e.g. the same period in the previous year or </w:t>
      </w:r>
      <w:r w:rsidR="00D16BD7">
        <w:t xml:space="preserve">national averages will not support effective oversight.  </w:t>
      </w:r>
      <w:r>
        <w:t>Frequent</w:t>
      </w:r>
      <w:r w:rsidR="00D16BD7">
        <w:t xml:space="preserve"> performance reporting </w:t>
      </w:r>
      <w:r>
        <w:t xml:space="preserve">can </w:t>
      </w:r>
      <w:r w:rsidR="00D16BD7">
        <w:t xml:space="preserve">risk complacency created by routine – seeing what appears to be the same information so regularly risks missing a significant trend or important variance. </w:t>
      </w:r>
      <w:r>
        <w:t xml:space="preserve"> Equally, it can be important to increase report frequency if, for example, there is a specific need for additional scrutiny or more intense oversight. The key is to be confident that the agreed structure is appropriate for the individual RSL and the people responsible for its governance.</w:t>
      </w:r>
    </w:p>
    <w:p w14:paraId="4A316927" w14:textId="65D79A88" w:rsidR="00DC7706" w:rsidRDefault="00D16BD7">
      <w:r>
        <w:t xml:space="preserve">Providing extensive data sets that are drawn from systems that are designed for operational management and oversight </w:t>
      </w:r>
      <w:r w:rsidR="00E444FC">
        <w:t xml:space="preserve">are unlikely to </w:t>
      </w:r>
      <w:r>
        <w:t>support the GB’s strategic oversight effectively</w:t>
      </w:r>
      <w:r w:rsidR="00E444FC">
        <w:t xml:space="preserve">.  </w:t>
      </w:r>
      <w:r>
        <w:t xml:space="preserve"> </w:t>
      </w:r>
      <w:r w:rsidR="00E444FC">
        <w:t>U</w:t>
      </w:r>
      <w:r>
        <w:t>sing charts, graphs and tables</w:t>
      </w:r>
      <w:r w:rsidR="00E444FC">
        <w:t xml:space="preserve"> </w:t>
      </w:r>
      <w:r w:rsidR="0094065A">
        <w:t>can</w:t>
      </w:r>
      <w:r>
        <w:t xml:space="preserve"> enable GBMs to recognise trends, improvements, pressure points and focus consideration on underlying causes</w:t>
      </w:r>
      <w:r w:rsidR="00F67597">
        <w:t>,</w:t>
      </w:r>
      <w:r>
        <w:t xml:space="preserve"> rather than month to month variations in numbers. Previous year comparisons and year end projections </w:t>
      </w:r>
      <w:r w:rsidR="0094065A">
        <w:t xml:space="preserve">can </w:t>
      </w:r>
      <w:r>
        <w:t xml:space="preserve">enable GBMs to focus their scrutiny and oversight on outcomes and impact against various contexts (e.g. tenant services, financial resilience, regulatory and legal compliance). </w:t>
      </w:r>
    </w:p>
    <w:tbl>
      <w:tblPr>
        <w:tblStyle w:val="TableGrid"/>
        <w:tblW w:w="0" w:type="auto"/>
        <w:tblLook w:val="04A0" w:firstRow="1" w:lastRow="0" w:firstColumn="1" w:lastColumn="0" w:noHBand="0" w:noVBand="1"/>
      </w:tblPr>
      <w:tblGrid>
        <w:gridCol w:w="4508"/>
        <w:gridCol w:w="4508"/>
      </w:tblGrid>
      <w:tr w:rsidR="00DC7706" w14:paraId="60E2CF71" w14:textId="77777777" w:rsidTr="00E01633">
        <w:trPr>
          <w:tblHeader/>
        </w:trPr>
        <w:tc>
          <w:tcPr>
            <w:tcW w:w="4508" w:type="dxa"/>
            <w:shd w:val="clear" w:color="auto" w:fill="B4C6E7" w:themeFill="accent1" w:themeFillTint="66"/>
          </w:tcPr>
          <w:p w14:paraId="0D70238A" w14:textId="16F1C81A" w:rsidR="00DC7706" w:rsidRPr="00291B29" w:rsidRDefault="00DC7706" w:rsidP="007F060A">
            <w:pPr>
              <w:pStyle w:val="Heading3"/>
              <w:rPr>
                <w:rFonts w:ascii="Arial" w:hAnsi="Arial" w:cs="Arial"/>
                <w:b/>
                <w:bCs/>
                <w:color w:val="auto"/>
              </w:rPr>
            </w:pPr>
            <w:r w:rsidRPr="00291B29">
              <w:rPr>
                <w:rFonts w:ascii="Arial" w:hAnsi="Arial" w:cs="Arial"/>
                <w:b/>
                <w:bCs/>
                <w:color w:val="auto"/>
              </w:rPr>
              <w:t>Aim to</w:t>
            </w:r>
          </w:p>
        </w:tc>
        <w:tc>
          <w:tcPr>
            <w:tcW w:w="4508" w:type="dxa"/>
            <w:shd w:val="clear" w:color="auto" w:fill="B4C6E7" w:themeFill="accent1" w:themeFillTint="66"/>
          </w:tcPr>
          <w:p w14:paraId="22102832" w14:textId="44AFE2ED" w:rsidR="00DC7706" w:rsidRPr="00291B29" w:rsidRDefault="00DC7706" w:rsidP="007F060A">
            <w:pPr>
              <w:pStyle w:val="Heading3"/>
              <w:rPr>
                <w:rFonts w:ascii="Arial" w:hAnsi="Arial" w:cs="Arial"/>
                <w:b/>
                <w:bCs/>
                <w:color w:val="auto"/>
              </w:rPr>
            </w:pPr>
            <w:r w:rsidRPr="00291B29">
              <w:rPr>
                <w:rFonts w:ascii="Arial" w:hAnsi="Arial" w:cs="Arial"/>
                <w:b/>
                <w:bCs/>
                <w:color w:val="auto"/>
              </w:rPr>
              <w:t>Aim to avoid</w:t>
            </w:r>
          </w:p>
        </w:tc>
      </w:tr>
      <w:tr w:rsidR="00DC7706" w14:paraId="4D8E26CF" w14:textId="77777777" w:rsidTr="00DC7706">
        <w:tc>
          <w:tcPr>
            <w:tcW w:w="4508" w:type="dxa"/>
          </w:tcPr>
          <w:p w14:paraId="6B98BED7" w14:textId="77777777" w:rsidR="00DC7706" w:rsidRDefault="00DC7706" w:rsidP="007F060A">
            <w:pPr>
              <w:pStyle w:val="ListParagraph"/>
              <w:numPr>
                <w:ilvl w:val="0"/>
                <w:numId w:val="8"/>
              </w:numPr>
            </w:pPr>
            <w:r>
              <w:t>Report performance data as close to the out-turn date as possible</w:t>
            </w:r>
          </w:p>
          <w:p w14:paraId="52925259" w14:textId="2BC1D6CD" w:rsidR="00DC7706" w:rsidRDefault="00DC7706" w:rsidP="007F060A">
            <w:pPr>
              <w:pStyle w:val="ListParagraph"/>
              <w:numPr>
                <w:ilvl w:val="0"/>
                <w:numId w:val="8"/>
              </w:numPr>
            </w:pPr>
            <w:r>
              <w:t>Build</w:t>
            </w:r>
            <w:r w:rsidR="00D76903">
              <w:t xml:space="preserve"> performance and compliance </w:t>
            </w:r>
            <w:r>
              <w:t>reporting</w:t>
            </w:r>
            <w:r w:rsidR="00D76903">
              <w:t xml:space="preserve"> schedules around the relevant monitoring period </w:t>
            </w:r>
          </w:p>
          <w:p w14:paraId="246D3F99" w14:textId="77777777" w:rsidR="00D76903" w:rsidRDefault="00D76903" w:rsidP="007F060A">
            <w:pPr>
              <w:pStyle w:val="ListParagraph"/>
              <w:numPr>
                <w:ilvl w:val="0"/>
                <w:numId w:val="8"/>
              </w:numPr>
            </w:pPr>
            <w:r>
              <w:t xml:space="preserve">Identify trends, comparisons, forecasts and projections in performance reports  </w:t>
            </w:r>
          </w:p>
          <w:p w14:paraId="497EB59D" w14:textId="77777777" w:rsidR="00D16BD7" w:rsidRDefault="00D16BD7" w:rsidP="007F060A">
            <w:pPr>
              <w:pStyle w:val="ListParagraph"/>
              <w:numPr>
                <w:ilvl w:val="0"/>
                <w:numId w:val="8"/>
              </w:numPr>
            </w:pPr>
            <w:r>
              <w:t>Use visuals (e.g. graphs, charts, tables) to report performance</w:t>
            </w:r>
          </w:p>
          <w:p w14:paraId="43DB76E3" w14:textId="77777777" w:rsidR="00D16BD7" w:rsidRDefault="00D16BD7" w:rsidP="007F060A">
            <w:pPr>
              <w:pStyle w:val="ListParagraph"/>
              <w:numPr>
                <w:ilvl w:val="0"/>
                <w:numId w:val="8"/>
              </w:numPr>
            </w:pPr>
            <w:r>
              <w:lastRenderedPageBreak/>
              <w:t>Include comparisons and projections to support strategic oversight</w:t>
            </w:r>
          </w:p>
          <w:p w14:paraId="759A883D" w14:textId="77777777" w:rsidR="00EE4377" w:rsidRDefault="00EE4377" w:rsidP="007F060A">
            <w:pPr>
              <w:pStyle w:val="ListParagraph"/>
              <w:numPr>
                <w:ilvl w:val="0"/>
                <w:numId w:val="8"/>
              </w:numPr>
            </w:pPr>
            <w:r>
              <w:t>Highlight impacts / consequences across the RSL’s business / strategic priorities</w:t>
            </w:r>
          </w:p>
          <w:p w14:paraId="783D149D" w14:textId="7275059D" w:rsidR="00291B29" w:rsidRDefault="00291B29" w:rsidP="00291B29">
            <w:pPr>
              <w:pStyle w:val="ListParagraph"/>
            </w:pPr>
          </w:p>
        </w:tc>
        <w:tc>
          <w:tcPr>
            <w:tcW w:w="4508" w:type="dxa"/>
          </w:tcPr>
          <w:p w14:paraId="58AEE29C" w14:textId="79F0B44F" w:rsidR="00DC7706" w:rsidRDefault="00D76903" w:rsidP="007F060A">
            <w:pPr>
              <w:pStyle w:val="ListParagraph"/>
              <w:numPr>
                <w:ilvl w:val="0"/>
                <w:numId w:val="8"/>
              </w:numPr>
            </w:pPr>
            <w:r>
              <w:lastRenderedPageBreak/>
              <w:t>Compromising effectiveness</w:t>
            </w:r>
            <w:r w:rsidR="00EE4377">
              <w:t xml:space="preserve"> with</w:t>
            </w:r>
            <w:r>
              <w:t xml:space="preserve"> reporting cycles </w:t>
            </w:r>
            <w:r w:rsidR="00EE4377">
              <w:t>that don’t take account of the reporting period(s)</w:t>
            </w:r>
            <w:r w:rsidR="0094065A">
              <w:rPr>
                <w:rStyle w:val="FootnoteReference"/>
              </w:rPr>
              <w:footnoteReference w:id="7"/>
            </w:r>
            <w:r w:rsidR="00EE4377">
              <w:t xml:space="preserve"> </w:t>
            </w:r>
          </w:p>
          <w:p w14:paraId="6036567F" w14:textId="3D317348" w:rsidR="00EE4377" w:rsidRDefault="00EE4377" w:rsidP="007F060A">
            <w:pPr>
              <w:pStyle w:val="ListParagraph"/>
              <w:numPr>
                <w:ilvl w:val="0"/>
                <w:numId w:val="8"/>
              </w:numPr>
            </w:pPr>
            <w:r>
              <w:t>Reporting too often / not often enough</w:t>
            </w:r>
          </w:p>
          <w:p w14:paraId="6ECA368A" w14:textId="29654475" w:rsidR="00D76903" w:rsidRDefault="00D76903" w:rsidP="007F060A">
            <w:pPr>
              <w:pStyle w:val="ListParagraph"/>
              <w:numPr>
                <w:ilvl w:val="0"/>
                <w:numId w:val="8"/>
              </w:numPr>
            </w:pPr>
            <w:r>
              <w:t>Presenting information that is out of date / has been overtaken by other reports (e.g. presenting detailed financial information about a specific business activity after it has already been reported via budget monitoring)</w:t>
            </w:r>
            <w:r w:rsidR="0094065A">
              <w:rPr>
                <w:rStyle w:val="FootnoteReference"/>
              </w:rPr>
              <w:footnoteReference w:id="8"/>
            </w:r>
          </w:p>
          <w:p w14:paraId="5A4CC0D2" w14:textId="4FF4C628" w:rsidR="00D76903" w:rsidRDefault="00D76903" w:rsidP="007F060A">
            <w:pPr>
              <w:pStyle w:val="ListParagraph"/>
              <w:numPr>
                <w:ilvl w:val="0"/>
                <w:numId w:val="8"/>
              </w:numPr>
            </w:pPr>
            <w:r>
              <w:lastRenderedPageBreak/>
              <w:t>Presenting performance information as a snapshot</w:t>
            </w:r>
          </w:p>
        </w:tc>
      </w:tr>
    </w:tbl>
    <w:p w14:paraId="1C16254D" w14:textId="77777777" w:rsidR="004E6726" w:rsidRDefault="004E6726" w:rsidP="004E6726"/>
    <w:p w14:paraId="18A1BB90" w14:textId="77777777" w:rsidR="004E6726" w:rsidRPr="00824FB5" w:rsidRDefault="004E6726" w:rsidP="004E6726">
      <w:pPr>
        <w:pStyle w:val="Heading2"/>
        <w:numPr>
          <w:ilvl w:val="0"/>
          <w:numId w:val="11"/>
        </w:numPr>
        <w:ind w:left="357" w:hanging="357"/>
        <w:rPr>
          <w:rFonts w:ascii="Arial" w:hAnsi="Arial" w:cs="Arial"/>
          <w:b/>
          <w:bCs/>
        </w:rPr>
      </w:pPr>
      <w:r w:rsidRPr="00824FB5">
        <w:rPr>
          <w:rFonts w:ascii="Arial" w:hAnsi="Arial" w:cs="Arial"/>
          <w:b/>
          <w:bCs/>
        </w:rPr>
        <w:t>Key people involved in reporting</w:t>
      </w:r>
    </w:p>
    <w:p w14:paraId="0FA54CD2" w14:textId="77777777" w:rsidR="004E6726" w:rsidRDefault="004E6726" w:rsidP="004E6726">
      <w:r>
        <w:t xml:space="preserve">Governance is a substantial responsibility and requires careful management across the RSL.  Ultimately the responsibility for sound governance rests with the CEO and Chair, although many RSLs identify corporate governance as a specific responsibility for a senior staff member.  </w:t>
      </w:r>
    </w:p>
    <w:p w14:paraId="5380CF08" w14:textId="77777777" w:rsidR="004E6726" w:rsidRDefault="004E6726" w:rsidP="004E6726">
      <w:r>
        <w:t xml:space="preserve">Governance structures vary across the sector, influenced by the scale and complexity of the business.  For </w:t>
      </w:r>
      <w:proofErr w:type="gramStart"/>
      <w:r>
        <w:t>many  RSLs</w:t>
      </w:r>
      <w:proofErr w:type="gramEnd"/>
      <w:r>
        <w:t>, the governance structure will consist of the GB, an Audit and Risk sub-committee (or equivalent) and, possibly, a staffing / resources sub-committee.  As already mentioned, it is important to consider the resourcing requirements of the governance structure to ensure it is sustainable.</w:t>
      </w:r>
    </w:p>
    <w:p w14:paraId="0F934F55" w14:textId="77777777" w:rsidR="004E6726" w:rsidRDefault="004E6726" w:rsidP="004E6726">
      <w:r>
        <w:t xml:space="preserve">The key people who support the governance structure and their responsibilities are: </w:t>
      </w:r>
    </w:p>
    <w:tbl>
      <w:tblPr>
        <w:tblStyle w:val="TableGrid"/>
        <w:tblW w:w="0" w:type="auto"/>
        <w:tblLook w:val="04A0" w:firstRow="1" w:lastRow="0" w:firstColumn="1" w:lastColumn="0" w:noHBand="0" w:noVBand="1"/>
      </w:tblPr>
      <w:tblGrid>
        <w:gridCol w:w="4508"/>
        <w:gridCol w:w="4508"/>
      </w:tblGrid>
      <w:tr w:rsidR="004E6726" w14:paraId="5A48DC81" w14:textId="77777777" w:rsidTr="004E6726">
        <w:trPr>
          <w:tblHeader/>
        </w:trPr>
        <w:tc>
          <w:tcPr>
            <w:tcW w:w="4508" w:type="dxa"/>
            <w:shd w:val="clear" w:color="auto" w:fill="B4C6E7" w:themeFill="accent1" w:themeFillTint="66"/>
          </w:tcPr>
          <w:p w14:paraId="21573929" w14:textId="77777777" w:rsidR="004E6726" w:rsidRPr="000417DE" w:rsidRDefault="004E6726" w:rsidP="003E12DD">
            <w:pPr>
              <w:pStyle w:val="Heading3"/>
              <w:rPr>
                <w:rFonts w:ascii="Arial" w:hAnsi="Arial" w:cs="Arial"/>
                <w:b/>
                <w:bCs/>
                <w:color w:val="auto"/>
              </w:rPr>
            </w:pPr>
            <w:r w:rsidRPr="000417DE">
              <w:rPr>
                <w:rFonts w:ascii="Arial" w:hAnsi="Arial" w:cs="Arial"/>
                <w:b/>
                <w:bCs/>
                <w:color w:val="auto"/>
              </w:rPr>
              <w:t>People</w:t>
            </w:r>
          </w:p>
        </w:tc>
        <w:tc>
          <w:tcPr>
            <w:tcW w:w="4508" w:type="dxa"/>
            <w:shd w:val="clear" w:color="auto" w:fill="B4C6E7" w:themeFill="accent1" w:themeFillTint="66"/>
          </w:tcPr>
          <w:p w14:paraId="2A38A619" w14:textId="77777777" w:rsidR="004E6726" w:rsidRPr="000417DE" w:rsidRDefault="004E6726" w:rsidP="003E12DD">
            <w:pPr>
              <w:pStyle w:val="Heading3"/>
              <w:rPr>
                <w:rFonts w:ascii="Arial" w:hAnsi="Arial" w:cs="Arial"/>
                <w:b/>
                <w:bCs/>
                <w:color w:val="auto"/>
              </w:rPr>
            </w:pPr>
            <w:r w:rsidRPr="000417DE">
              <w:rPr>
                <w:rFonts w:ascii="Arial" w:hAnsi="Arial" w:cs="Arial"/>
                <w:b/>
                <w:bCs/>
                <w:color w:val="auto"/>
              </w:rPr>
              <w:t>Role &amp; Responsibilities</w:t>
            </w:r>
          </w:p>
        </w:tc>
      </w:tr>
      <w:tr w:rsidR="004E6726" w14:paraId="04ECD915" w14:textId="77777777" w:rsidTr="003E12DD">
        <w:tc>
          <w:tcPr>
            <w:tcW w:w="4508" w:type="dxa"/>
          </w:tcPr>
          <w:p w14:paraId="38402F62" w14:textId="77777777" w:rsidR="004E6726" w:rsidRDefault="004E6726" w:rsidP="003E12DD">
            <w:r>
              <w:t>Principal Adviser / Lead Officer</w:t>
            </w:r>
          </w:p>
        </w:tc>
        <w:tc>
          <w:tcPr>
            <w:tcW w:w="4508" w:type="dxa"/>
          </w:tcPr>
          <w:p w14:paraId="1166995F" w14:textId="77777777" w:rsidR="004E6726" w:rsidRDefault="004E6726" w:rsidP="003E12DD">
            <w:r>
              <w:t xml:space="preserve">Identified in the relevant remit (e.g. CEO will advise and support the GB); responsible for liaising with the Chair over agenda preparation, in advance of and between meetings; effective exercise of delegated authority in accordance with </w:t>
            </w:r>
            <w:proofErr w:type="spellStart"/>
            <w:r>
              <w:t>SoDA</w:t>
            </w:r>
            <w:proofErr w:type="spellEnd"/>
            <w:r>
              <w:rPr>
                <w:rStyle w:val="FootnoteReference"/>
              </w:rPr>
              <w:footnoteReference w:id="9"/>
            </w:r>
            <w:r>
              <w:t>; overseeing preparation of reports (including ensuring consistency of style etc.)</w:t>
            </w:r>
          </w:p>
          <w:p w14:paraId="28169207" w14:textId="77777777" w:rsidR="004E6726" w:rsidRDefault="004E6726" w:rsidP="003E12DD"/>
        </w:tc>
      </w:tr>
      <w:tr w:rsidR="004E6726" w14:paraId="3DA20FB3" w14:textId="77777777" w:rsidTr="003E12DD">
        <w:tc>
          <w:tcPr>
            <w:tcW w:w="4508" w:type="dxa"/>
          </w:tcPr>
          <w:p w14:paraId="0D50B97F" w14:textId="77777777" w:rsidR="004E6726" w:rsidRDefault="004E6726" w:rsidP="003E12DD">
            <w:r>
              <w:t>Chair(s) of GB and sub-committees</w:t>
            </w:r>
          </w:p>
        </w:tc>
        <w:tc>
          <w:tcPr>
            <w:tcW w:w="4508" w:type="dxa"/>
          </w:tcPr>
          <w:p w14:paraId="6CE8FFD2" w14:textId="77777777" w:rsidR="004E6726" w:rsidRDefault="004E6726" w:rsidP="003E12DD">
            <w:r>
              <w:t xml:space="preserve">Liaison with principal adviser / lead </w:t>
            </w:r>
            <w:proofErr w:type="gramStart"/>
            <w:r>
              <w:t>officer  in</w:t>
            </w:r>
            <w:proofErr w:type="gramEnd"/>
            <w:r>
              <w:t xml:space="preserve"> advance of and between meetings; responsible for agreeing agenda; ensuring business conducted effectively and required outcomes achieved in accordance with good governance practice</w:t>
            </w:r>
          </w:p>
          <w:p w14:paraId="41AB0E74" w14:textId="77777777" w:rsidR="004E6726" w:rsidRPr="003E12DD" w:rsidRDefault="004E6726" w:rsidP="003E12DD">
            <w:pPr>
              <w:pStyle w:val="Heading4"/>
              <w:rPr>
                <w:rFonts w:ascii="Arial" w:hAnsi="Arial" w:cs="Arial"/>
                <w:i w:val="0"/>
                <w:iCs w:val="0"/>
                <w:color w:val="auto"/>
              </w:rPr>
            </w:pPr>
            <w:r w:rsidRPr="003E12DD">
              <w:rPr>
                <w:rFonts w:ascii="Arial" w:hAnsi="Arial" w:cs="Arial"/>
                <w:i w:val="0"/>
                <w:iCs w:val="0"/>
                <w:color w:val="auto"/>
              </w:rPr>
              <w:lastRenderedPageBreak/>
              <w:t>Please note: GBMs should not usually hold more than one Office Bearer (OB) role</w:t>
            </w:r>
            <w:r w:rsidRPr="003E12DD">
              <w:rPr>
                <w:rStyle w:val="FootnoteReference"/>
                <w:rFonts w:ascii="Arial" w:hAnsi="Arial" w:cs="Arial"/>
                <w:i w:val="0"/>
                <w:iCs w:val="0"/>
                <w:color w:val="auto"/>
              </w:rPr>
              <w:footnoteReference w:id="10"/>
            </w:r>
          </w:p>
          <w:p w14:paraId="5A565906" w14:textId="77777777" w:rsidR="004E6726" w:rsidRPr="003E12DD" w:rsidRDefault="004E6726" w:rsidP="003E12DD"/>
        </w:tc>
      </w:tr>
      <w:tr w:rsidR="004E6726" w14:paraId="6CA0BF94" w14:textId="77777777" w:rsidTr="003E12DD">
        <w:tc>
          <w:tcPr>
            <w:tcW w:w="4508" w:type="dxa"/>
          </w:tcPr>
          <w:p w14:paraId="0D411BAC" w14:textId="77777777" w:rsidR="004E6726" w:rsidRDefault="004E6726" w:rsidP="003E12DD">
            <w:r>
              <w:lastRenderedPageBreak/>
              <w:t>Report Authors</w:t>
            </w:r>
          </w:p>
        </w:tc>
        <w:tc>
          <w:tcPr>
            <w:tcW w:w="4508" w:type="dxa"/>
          </w:tcPr>
          <w:p w14:paraId="15CF6091" w14:textId="77777777" w:rsidR="004E6726" w:rsidRDefault="004E6726" w:rsidP="003E12DD">
            <w:r>
              <w:t>Preparation and presentation of reports as required by the agenda, in accordance with reporting requirements; responding to and reporting on questions asked in advance of and during meeting; advising GB on e.g. compliance and need for specialist or independent advice</w:t>
            </w:r>
          </w:p>
          <w:p w14:paraId="4FB84E4D" w14:textId="77777777" w:rsidR="004E6726" w:rsidRDefault="004E6726" w:rsidP="003E12DD"/>
        </w:tc>
      </w:tr>
      <w:tr w:rsidR="004E6726" w14:paraId="08F8C2B0" w14:textId="77777777" w:rsidTr="003E12DD">
        <w:tc>
          <w:tcPr>
            <w:tcW w:w="4508" w:type="dxa"/>
          </w:tcPr>
          <w:p w14:paraId="6DE28846" w14:textId="77777777" w:rsidR="004E6726" w:rsidRDefault="004E6726" w:rsidP="003E12DD">
            <w:r>
              <w:t>Governance / Corporate Services officer / manager (or other designated staff member)</w:t>
            </w:r>
          </w:p>
          <w:p w14:paraId="2692DAD8" w14:textId="77777777" w:rsidR="004E6726" w:rsidRDefault="004E6726" w:rsidP="003E12DD"/>
        </w:tc>
        <w:tc>
          <w:tcPr>
            <w:tcW w:w="4508" w:type="dxa"/>
          </w:tcPr>
          <w:p w14:paraId="6AE25C38" w14:textId="77777777" w:rsidR="004E6726" w:rsidRDefault="004E6726" w:rsidP="003E12DD">
            <w:r>
              <w:t>Co-ordination and issue of papers; compliance with constitutional and regulatory requirements and standing orders provisions; advising on meetings schedule and reporting cycles</w:t>
            </w:r>
          </w:p>
        </w:tc>
      </w:tr>
    </w:tbl>
    <w:p w14:paraId="073B6235" w14:textId="77777777" w:rsidR="00160534" w:rsidRDefault="00160534"/>
    <w:p w14:paraId="543F965A" w14:textId="2EB38B7C" w:rsidR="00CF6908" w:rsidRPr="00CB1795" w:rsidRDefault="00CF6908" w:rsidP="00CB1795">
      <w:pPr>
        <w:pStyle w:val="Heading2"/>
        <w:numPr>
          <w:ilvl w:val="0"/>
          <w:numId w:val="11"/>
        </w:numPr>
        <w:ind w:left="357" w:hanging="357"/>
        <w:rPr>
          <w:rFonts w:ascii="Arial" w:hAnsi="Arial" w:cs="Arial"/>
          <w:b/>
          <w:bCs/>
        </w:rPr>
      </w:pPr>
      <w:r w:rsidRPr="00CB1795">
        <w:rPr>
          <w:rFonts w:ascii="Arial" w:hAnsi="Arial" w:cs="Arial"/>
          <w:b/>
          <w:bCs/>
        </w:rPr>
        <w:t>When to Review Reporting</w:t>
      </w:r>
    </w:p>
    <w:p w14:paraId="7D4BE89A" w14:textId="4ABA364A" w:rsidR="00D63692" w:rsidRDefault="00CF6908">
      <w:r>
        <w:t xml:space="preserve">It is important to recognise that individual RSLs will support good governance practice with a variety of reporting styles, frequencies and formats which reflect </w:t>
      </w:r>
      <w:r w:rsidR="00EE4377">
        <w:t>specific</w:t>
      </w:r>
      <w:r>
        <w:t xml:space="preserve"> organisations and their </w:t>
      </w:r>
      <w:r w:rsidR="00F07933">
        <w:t xml:space="preserve">individual </w:t>
      </w:r>
      <w:r>
        <w:t xml:space="preserve">governance structures.  All of these should emerge from discussion and agreement between the CEO, Chair and GB: the ‘results’ should strike the ‘right’ balance between </w:t>
      </w:r>
      <w:r w:rsidR="00D63692">
        <w:t>the respective strategic and operational responsibilities and accommodate the preferences of the GB</w:t>
      </w:r>
      <w:r w:rsidR="0097677A">
        <w:rPr>
          <w:rStyle w:val="FootnoteReference"/>
        </w:rPr>
        <w:footnoteReference w:id="11"/>
      </w:r>
      <w:r w:rsidR="00D63692">
        <w:t xml:space="preserve">.  </w:t>
      </w:r>
    </w:p>
    <w:p w14:paraId="71F864D3" w14:textId="7F541029" w:rsidR="001007B9" w:rsidRDefault="001A396F">
      <w:r>
        <w:t>It is good practice for g</w:t>
      </w:r>
      <w:r w:rsidR="00D63692">
        <w:t>overning</w:t>
      </w:r>
      <w:r w:rsidR="00EB5727">
        <w:t xml:space="preserve"> bodies </w:t>
      </w:r>
      <w:r>
        <w:t>to</w:t>
      </w:r>
      <w:r w:rsidR="00EB5727">
        <w:t xml:space="preserve"> review the RSL’s governance structures periodically to ensure that they continue to be effective and resilient.  </w:t>
      </w:r>
      <w:r w:rsidR="001007B9">
        <w:t xml:space="preserve"> The GBM annual reviews are a good opportunity to review the GB’s collective effectiveness</w:t>
      </w:r>
      <w:r w:rsidR="00342217">
        <w:t>,</w:t>
      </w:r>
      <w:r w:rsidR="001007B9">
        <w:t xml:space="preserve"> as well as the contributions of individual members</w:t>
      </w:r>
      <w:r>
        <w:t xml:space="preserve">: the outcomes may confirm that the arrangements continue to be </w:t>
      </w:r>
      <w:proofErr w:type="gramStart"/>
      <w:r>
        <w:t>effective, but</w:t>
      </w:r>
      <w:proofErr w:type="gramEnd"/>
      <w:r>
        <w:t xml:space="preserve"> may also identify potential for development</w:t>
      </w:r>
      <w:r w:rsidR="001007B9">
        <w:t xml:space="preserve">.  Feedback from GBMs about how the GB and sub-committees operate, </w:t>
      </w:r>
      <w:r w:rsidR="00342217">
        <w:t xml:space="preserve">reporting effectiveness, meeting frequency, opportunities for ‘blue-sky thinking’ and strategic planning events combine to provide an assessment of how effective the governance arrangements are. </w:t>
      </w:r>
    </w:p>
    <w:p w14:paraId="4B59CDDD" w14:textId="5E33109C" w:rsidR="003562D5" w:rsidRDefault="00EB5727">
      <w:r>
        <w:t>It</w:t>
      </w:r>
      <w:r w:rsidR="00E01633">
        <w:t xml:space="preserve"> i</w:t>
      </w:r>
      <w:r>
        <w:t xml:space="preserve">s important to recognise that governance structures and reporting arrangements may need to adapt, over time, to accommodate e.g. changes in the composition of the GB, as well as reflecting changing organisational activities.  </w:t>
      </w:r>
      <w:r w:rsidR="003562D5">
        <w:t xml:space="preserve">When deciding on the RSL’s governance structures, the GB must be satisfied that they can be adequately resourced – by staff and by GBMs.  It is, therefore, essential that </w:t>
      </w:r>
      <w:r w:rsidR="003562D5">
        <w:lastRenderedPageBreak/>
        <w:t xml:space="preserve">governance structures are kept under review to ensure they remain fit for purpose and can be resourced adequately.  </w:t>
      </w:r>
      <w:r w:rsidR="00753F75">
        <w:t>This is, of course, important when considering potential changes to the governance structure that may place additional demands on both staff and GBMs.</w:t>
      </w:r>
    </w:p>
    <w:p w14:paraId="4F2D219A" w14:textId="4B4D380A" w:rsidR="00D63692" w:rsidRDefault="00EB5727">
      <w:r>
        <w:t xml:space="preserve">If the RSL embarks on a significant new initiative (e.g. </w:t>
      </w:r>
      <w:r w:rsidR="00355D10">
        <w:t xml:space="preserve">energy efficiency installations, development, factoring), it may be necessary to establish a sub-committee to support the GB’s oversight.  Sub-committees </w:t>
      </w:r>
      <w:proofErr w:type="gramStart"/>
      <w:r w:rsidR="00355D10">
        <w:t>have to</w:t>
      </w:r>
      <w:proofErr w:type="gramEnd"/>
      <w:r w:rsidR="00355D10">
        <w:t xml:space="preserve"> be resourced and so it is essential that the GB is confident that there are sufficient</w:t>
      </w:r>
      <w:r w:rsidR="001B7241">
        <w:t xml:space="preserve"> GBMs</w:t>
      </w:r>
      <w:r w:rsidR="00355D10">
        <w:t xml:space="preserve"> willing to be active members of the sub-committee in addition to their existing GB commitments.  Similarly, the GB must be satisfied that the frequency of the meeting and reporting cycle will support effective scrutiny without compromising the ability of staff to progress operational delivery.</w:t>
      </w:r>
      <w:r w:rsidR="003562D5">
        <w:t xml:space="preserve">  It is essential to avoid creating a ‘governance treadmill’.</w:t>
      </w:r>
    </w:p>
    <w:p w14:paraId="02A27DD2" w14:textId="658D3659" w:rsidR="00355D10" w:rsidRDefault="00355D10">
      <w:r>
        <w:t xml:space="preserve">It’s both inevitable and essential that the ‘complexion’ of the GB will change over time, as members step down and others are recruited.  Effective succession planning should reduce the risk of significant change over a short </w:t>
      </w:r>
      <w:proofErr w:type="gramStart"/>
      <w:r>
        <w:t>time-frame</w:t>
      </w:r>
      <w:proofErr w:type="gramEnd"/>
      <w:r>
        <w:t xml:space="preserve"> or the loss of key experience or expertise that </w:t>
      </w:r>
      <w:r w:rsidR="0097677A">
        <w:t xml:space="preserve">might </w:t>
      </w:r>
      <w:r>
        <w:t>create an imbalance in the GB’s collective governance memory.  Significant turn-over in the membership of the GB</w:t>
      </w:r>
      <w:r w:rsidR="0097677A">
        <w:t xml:space="preserve"> can create the need for a review of reporting requirements e.g. to ensure that sufficient background/information/history is provided to provide context for decision-making and clarity about the significance of the issue.</w:t>
      </w:r>
    </w:p>
    <w:p w14:paraId="0221B0DA" w14:textId="4183F839" w:rsidR="006B6B68" w:rsidRDefault="001007B9" w:rsidP="005A5777">
      <w:r>
        <w:t xml:space="preserve">The table </w:t>
      </w:r>
      <w:r w:rsidR="00E01633">
        <w:t>below</w:t>
      </w:r>
      <w:r>
        <w:t xml:space="preserve"> highlights some ‘flags’ that might indicate that a review of the RSL’s governance structures should be carried out</w:t>
      </w:r>
      <w:r w:rsidR="00342217">
        <w:t xml:space="preserve">; of course, individual ‘flags’ are likely to require specific responses – like everything else, governance </w:t>
      </w:r>
      <w:r w:rsidR="006F060D">
        <w:t>doesn’t involve a uniform set of arrangements</w:t>
      </w:r>
      <w:r w:rsidR="001C7CCB">
        <w:t xml:space="preserve"> or a ‘standard’ solution</w:t>
      </w:r>
      <w:r w:rsidR="001D39B8">
        <w:t>: it</w:t>
      </w:r>
      <w:r w:rsidR="006A6C21">
        <w:t xml:space="preserve"> i</w:t>
      </w:r>
      <w:r w:rsidR="001D39B8">
        <w:t>s for individual RSLs to determine what is most appropriate for them</w:t>
      </w:r>
      <w:r w:rsidR="006F060D">
        <w:t>.</w:t>
      </w:r>
    </w:p>
    <w:tbl>
      <w:tblPr>
        <w:tblStyle w:val="TableGrid"/>
        <w:tblW w:w="0" w:type="auto"/>
        <w:tblLook w:val="04A0" w:firstRow="1" w:lastRow="0" w:firstColumn="1" w:lastColumn="0" w:noHBand="0" w:noVBand="1"/>
      </w:tblPr>
      <w:tblGrid>
        <w:gridCol w:w="4508"/>
        <w:gridCol w:w="4508"/>
      </w:tblGrid>
      <w:tr w:rsidR="00EA72FA" w14:paraId="14010F91" w14:textId="77777777" w:rsidTr="005A5777">
        <w:trPr>
          <w:tblHeader/>
        </w:trPr>
        <w:tc>
          <w:tcPr>
            <w:tcW w:w="4508" w:type="dxa"/>
            <w:shd w:val="clear" w:color="auto" w:fill="B4C6E7" w:themeFill="accent1" w:themeFillTint="66"/>
          </w:tcPr>
          <w:p w14:paraId="17B7D6BD" w14:textId="7CC2AB91" w:rsidR="00EA72FA" w:rsidRPr="005A5777" w:rsidRDefault="00EA72FA" w:rsidP="007F060A">
            <w:pPr>
              <w:pStyle w:val="Heading3"/>
              <w:rPr>
                <w:b/>
                <w:bCs/>
                <w:color w:val="auto"/>
              </w:rPr>
            </w:pPr>
            <w:r w:rsidRPr="005A5777">
              <w:rPr>
                <w:b/>
                <w:bCs/>
                <w:color w:val="auto"/>
              </w:rPr>
              <w:t>Challenge/Issue</w:t>
            </w:r>
          </w:p>
        </w:tc>
        <w:tc>
          <w:tcPr>
            <w:tcW w:w="4508" w:type="dxa"/>
            <w:shd w:val="clear" w:color="auto" w:fill="B4C6E7" w:themeFill="accent1" w:themeFillTint="66"/>
          </w:tcPr>
          <w:p w14:paraId="02B5D034" w14:textId="5DEA3C3A" w:rsidR="00EA72FA" w:rsidRPr="005A5777" w:rsidRDefault="00EA72FA" w:rsidP="007F060A">
            <w:pPr>
              <w:pStyle w:val="Heading3"/>
              <w:rPr>
                <w:b/>
                <w:bCs/>
                <w:color w:val="auto"/>
              </w:rPr>
            </w:pPr>
            <w:r w:rsidRPr="005A5777">
              <w:rPr>
                <w:b/>
                <w:bCs/>
                <w:color w:val="auto"/>
              </w:rPr>
              <w:t>Look out for/Review</w:t>
            </w:r>
          </w:p>
        </w:tc>
      </w:tr>
      <w:tr w:rsidR="00EA72FA" w14:paraId="051D6EFB" w14:textId="77777777" w:rsidTr="00EA72FA">
        <w:tc>
          <w:tcPr>
            <w:tcW w:w="4508" w:type="dxa"/>
          </w:tcPr>
          <w:p w14:paraId="273A3ADF" w14:textId="77777777" w:rsidR="00EA72FA" w:rsidRDefault="00EA72FA" w:rsidP="00EA72FA">
            <w:r>
              <w:t>Regularly running out of time / having to suspend standing orders</w:t>
            </w:r>
          </w:p>
          <w:p w14:paraId="07BEFBC2" w14:textId="77777777" w:rsidR="00EA72FA" w:rsidRDefault="00EA72FA"/>
        </w:tc>
        <w:tc>
          <w:tcPr>
            <w:tcW w:w="4508" w:type="dxa"/>
          </w:tcPr>
          <w:p w14:paraId="3EF04DD0" w14:textId="77777777" w:rsidR="00EA72FA" w:rsidRDefault="00EA72FA">
            <w:r>
              <w:t xml:space="preserve">Meeting cycle </w:t>
            </w:r>
            <w:r w:rsidR="00D15D7F">
              <w:t>–</w:t>
            </w:r>
            <w:r>
              <w:t xml:space="preserve"> </w:t>
            </w:r>
            <w:r w:rsidR="00D15D7F">
              <w:t>does the GB / sub-committee meet frequently enough?</w:t>
            </w:r>
          </w:p>
          <w:p w14:paraId="1A6A8108" w14:textId="77777777" w:rsidR="009A2ED0" w:rsidRDefault="009A2ED0"/>
          <w:p w14:paraId="01DA3F16" w14:textId="77777777" w:rsidR="00D15D7F" w:rsidRDefault="00D15D7F">
            <w:r>
              <w:t>Reporting cycle – could this be reduced?</w:t>
            </w:r>
            <w:r>
              <w:rPr>
                <w:rStyle w:val="FootnoteReference"/>
              </w:rPr>
              <w:footnoteReference w:id="12"/>
            </w:r>
          </w:p>
          <w:p w14:paraId="2CA87D32" w14:textId="77777777" w:rsidR="009A2ED0" w:rsidRDefault="009A2ED0"/>
          <w:p w14:paraId="715341D4" w14:textId="35EDD349" w:rsidR="004A76B4" w:rsidRDefault="004A76B4">
            <w:r>
              <w:t>Are all the reports necessary?</w:t>
            </w:r>
          </w:p>
          <w:p w14:paraId="5F2A2E25" w14:textId="77777777" w:rsidR="009A2ED0" w:rsidRDefault="009A2ED0"/>
          <w:p w14:paraId="7B7B10C8" w14:textId="77777777" w:rsidR="004A76B4" w:rsidRDefault="004A76B4">
            <w:r>
              <w:t xml:space="preserve">Is there sufficient / effective delegation to staff?  </w:t>
            </w:r>
          </w:p>
          <w:p w14:paraId="44CCEFEF" w14:textId="4DF80F5C" w:rsidR="009A2ED0" w:rsidRDefault="009A2ED0"/>
        </w:tc>
      </w:tr>
      <w:tr w:rsidR="00EA72FA" w14:paraId="7E9E182D" w14:textId="77777777" w:rsidTr="00EA72FA">
        <w:tc>
          <w:tcPr>
            <w:tcW w:w="4508" w:type="dxa"/>
          </w:tcPr>
          <w:p w14:paraId="55374DC7" w14:textId="366DD473" w:rsidR="00EA72FA" w:rsidRDefault="009A4278">
            <w:r>
              <w:t>Discussion focussed on operational matters</w:t>
            </w:r>
          </w:p>
        </w:tc>
        <w:tc>
          <w:tcPr>
            <w:tcW w:w="4508" w:type="dxa"/>
          </w:tcPr>
          <w:p w14:paraId="3466F4B8" w14:textId="573C4CCD" w:rsidR="004A76B4" w:rsidRDefault="009A4278">
            <w:r>
              <w:t xml:space="preserve">Content of reports – </w:t>
            </w:r>
            <w:r w:rsidR="004A76B4">
              <w:t xml:space="preserve">are they sufficiently strategic? Is the focus on e.g. performance trends, outcomes, </w:t>
            </w:r>
            <w:r w:rsidR="004A76B4">
              <w:lastRenderedPageBreak/>
              <w:t xml:space="preserve">averages and comparisons? Is there too much operational detail? </w:t>
            </w:r>
          </w:p>
          <w:p w14:paraId="718CCB62" w14:textId="77777777" w:rsidR="009A2ED0" w:rsidRDefault="009A2ED0"/>
          <w:p w14:paraId="046B25A6" w14:textId="77777777" w:rsidR="00EA72FA" w:rsidRDefault="004A76B4">
            <w:r>
              <w:t xml:space="preserve">Is the GB being asked to consider matters that should be / </w:t>
            </w:r>
            <w:r w:rsidR="006F060D">
              <w:t>are</w:t>
            </w:r>
            <w:r>
              <w:t xml:space="preserve"> delegated to staff?</w:t>
            </w:r>
          </w:p>
          <w:p w14:paraId="45AFA6C8" w14:textId="5113AE73" w:rsidR="009A2ED0" w:rsidRDefault="009A2ED0"/>
        </w:tc>
      </w:tr>
      <w:tr w:rsidR="004A76B4" w14:paraId="11B42C51" w14:textId="77777777" w:rsidTr="00EA72FA">
        <w:tc>
          <w:tcPr>
            <w:tcW w:w="4508" w:type="dxa"/>
          </w:tcPr>
          <w:p w14:paraId="4A8C67FD" w14:textId="2C371796" w:rsidR="004A76B4" w:rsidRDefault="00BC4FA3">
            <w:r>
              <w:lastRenderedPageBreak/>
              <w:t>Lack of discussion</w:t>
            </w:r>
          </w:p>
        </w:tc>
        <w:tc>
          <w:tcPr>
            <w:tcW w:w="4508" w:type="dxa"/>
          </w:tcPr>
          <w:p w14:paraId="3954906D" w14:textId="77777777" w:rsidR="004A76B4" w:rsidRDefault="00BC4FA3">
            <w:r>
              <w:t>Is the purpose of reports clear?</w:t>
            </w:r>
          </w:p>
          <w:p w14:paraId="528DD30B" w14:textId="77777777" w:rsidR="009A2ED0" w:rsidRDefault="009A2ED0"/>
          <w:p w14:paraId="74CD0FF5" w14:textId="77777777" w:rsidR="00BC4FA3" w:rsidRDefault="00BC4FA3">
            <w:r>
              <w:t>Is the GB aware of the reason for the report / significance of the subject / impact on the organisation / tenants?</w:t>
            </w:r>
          </w:p>
          <w:p w14:paraId="5463F881" w14:textId="77777777" w:rsidR="009A2ED0" w:rsidRDefault="009A2ED0"/>
          <w:p w14:paraId="6B96A369" w14:textId="77777777" w:rsidR="006F060D" w:rsidRDefault="006F060D">
            <w:r>
              <w:t>Are reports so comprehensive that there is ‘nothing for the GB to do’?</w:t>
            </w:r>
          </w:p>
          <w:p w14:paraId="3B05D67C" w14:textId="77777777" w:rsidR="009A2ED0" w:rsidRDefault="009A2ED0"/>
          <w:p w14:paraId="706143D1" w14:textId="77777777" w:rsidR="006F060D" w:rsidRDefault="006F060D">
            <w:r>
              <w:t>Are options presented for the GB to consider or to describe why a specific proposal is presented rather than an alternative?</w:t>
            </w:r>
          </w:p>
          <w:p w14:paraId="31C8A9D3" w14:textId="77777777" w:rsidR="009A2ED0" w:rsidRDefault="009A2ED0"/>
          <w:p w14:paraId="1E26DE1D" w14:textId="77777777" w:rsidR="006F060D" w:rsidRDefault="006F060D">
            <w:r>
              <w:t>Is sufficient background / context provided to establish the importance / consequence / reason for the report and the expectation(s) of the GB</w:t>
            </w:r>
          </w:p>
          <w:p w14:paraId="077E41EF" w14:textId="26C96E17" w:rsidR="009A2ED0" w:rsidRDefault="009A2ED0"/>
        </w:tc>
      </w:tr>
      <w:tr w:rsidR="00EA72FA" w14:paraId="27402F72" w14:textId="77777777" w:rsidTr="00EA72FA">
        <w:tc>
          <w:tcPr>
            <w:tcW w:w="4508" w:type="dxa"/>
          </w:tcPr>
          <w:p w14:paraId="1212682B" w14:textId="1FD2C035" w:rsidR="00EA72FA" w:rsidRDefault="009A4278">
            <w:r>
              <w:t>Inquorate meetings</w:t>
            </w:r>
          </w:p>
        </w:tc>
        <w:tc>
          <w:tcPr>
            <w:tcW w:w="4508" w:type="dxa"/>
          </w:tcPr>
          <w:p w14:paraId="2B765D6C" w14:textId="77777777" w:rsidR="00EA72FA" w:rsidRDefault="009A4278">
            <w:r>
              <w:t>Are there too many meetings / too many sub-committees / not enough GBMs?</w:t>
            </w:r>
          </w:p>
          <w:p w14:paraId="7740E698" w14:textId="77777777" w:rsidR="004A76B4" w:rsidRDefault="004A76B4">
            <w:r>
              <w:t xml:space="preserve">Is the governance structure ‘fit for purpose’? </w:t>
            </w:r>
          </w:p>
          <w:p w14:paraId="6732E9CC" w14:textId="50565FF0" w:rsidR="00C520E0" w:rsidRDefault="00C520E0"/>
        </w:tc>
      </w:tr>
    </w:tbl>
    <w:p w14:paraId="23554ABA" w14:textId="77777777" w:rsidR="00EA72FA" w:rsidRDefault="00EA72FA"/>
    <w:p w14:paraId="656D48DC" w14:textId="77777777" w:rsidR="004B42FB" w:rsidRDefault="004B42FB" w:rsidP="00362282">
      <w:pPr>
        <w:pBdr>
          <w:top w:val="single" w:sz="4" w:space="1" w:color="auto"/>
          <w:bottom w:val="single" w:sz="4" w:space="1" w:color="auto"/>
        </w:pBdr>
      </w:pPr>
    </w:p>
    <w:p w14:paraId="567BDDF1" w14:textId="04408812" w:rsidR="004B42FB" w:rsidRPr="00951AAC" w:rsidRDefault="00951AAC" w:rsidP="009A2ED0">
      <w:pPr>
        <w:pBdr>
          <w:top w:val="single" w:sz="4" w:space="1" w:color="auto"/>
          <w:bottom w:val="single" w:sz="4" w:space="1" w:color="auto"/>
        </w:pBdr>
        <w:jc w:val="center"/>
        <w:rPr>
          <w:b/>
          <w:bCs/>
          <w:color w:val="000000" w:themeColor="text1"/>
          <w:sz w:val="32"/>
          <w:szCs w:val="32"/>
        </w:rPr>
      </w:pPr>
      <w:r>
        <w:rPr>
          <w:b/>
          <w:bCs/>
          <w:noProof/>
          <w:color w:val="000000" w:themeColor="text1"/>
          <w:sz w:val="32"/>
          <w:szCs w:val="32"/>
        </w:rPr>
        <w:drawing>
          <wp:anchor distT="0" distB="0" distL="114300" distR="114300" simplePos="0" relativeHeight="251661312" behindDoc="0" locked="0" layoutInCell="1" allowOverlap="1" wp14:anchorId="07DFC06B" wp14:editId="1E4BAEDE">
            <wp:simplePos x="0" y="0"/>
            <wp:positionH relativeFrom="column">
              <wp:posOffset>4787900</wp:posOffset>
            </wp:positionH>
            <wp:positionV relativeFrom="paragraph">
              <wp:posOffset>22225</wp:posOffset>
            </wp:positionV>
            <wp:extent cx="651510" cy="529590"/>
            <wp:effectExtent l="0" t="0" r="0" b="0"/>
            <wp:wrapSquare wrapText="bothSides"/>
            <wp:docPr id="76290578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05785" name="Picture 4" descr="A black background with a black squa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 cy="529590"/>
                    </a:xfrm>
                    <a:prstGeom prst="rect">
                      <a:avLst/>
                    </a:prstGeom>
                    <a:noFill/>
                  </pic:spPr>
                </pic:pic>
              </a:graphicData>
            </a:graphic>
            <wp14:sizeRelH relativeFrom="margin">
              <wp14:pctWidth>0</wp14:pctWidth>
            </wp14:sizeRelH>
            <wp14:sizeRelV relativeFrom="margin">
              <wp14:pctHeight>0</wp14:pctHeight>
            </wp14:sizeRelV>
          </wp:anchor>
        </w:drawing>
      </w:r>
      <w:r w:rsidR="004B42FB" w:rsidRPr="004965DA">
        <w:rPr>
          <w:b/>
          <w:bCs/>
          <w:noProof/>
          <w:color w:val="000000" w:themeColor="text1"/>
          <w:sz w:val="32"/>
          <w:szCs w:val="32"/>
        </w:rPr>
        <w:drawing>
          <wp:anchor distT="0" distB="0" distL="114300" distR="114300" simplePos="0" relativeHeight="251659264" behindDoc="0" locked="0" layoutInCell="1" allowOverlap="1" wp14:anchorId="68FE548B" wp14:editId="3A48814F">
            <wp:simplePos x="0" y="0"/>
            <wp:positionH relativeFrom="column">
              <wp:posOffset>463550</wp:posOffset>
            </wp:positionH>
            <wp:positionV relativeFrom="paragraph">
              <wp:posOffset>0</wp:posOffset>
            </wp:positionV>
            <wp:extent cx="628650" cy="552450"/>
            <wp:effectExtent l="0" t="0" r="0" b="0"/>
            <wp:wrapSquare wrapText="bothSides"/>
            <wp:docPr id="2083954830" name="Graphic 2" descr="Lightbul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240" name="Graphic 37170240" descr="Lightbulb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28650" cy="552450"/>
                    </a:xfrm>
                    <a:prstGeom prst="rect">
                      <a:avLst/>
                    </a:prstGeom>
                  </pic:spPr>
                </pic:pic>
              </a:graphicData>
            </a:graphic>
          </wp:anchor>
        </w:drawing>
      </w:r>
      <w:r w:rsidR="004B42FB" w:rsidRPr="004965DA">
        <w:rPr>
          <w:b/>
          <w:bCs/>
          <w:color w:val="000000" w:themeColor="text1"/>
          <w:sz w:val="32"/>
          <w:szCs w:val="32"/>
        </w:rPr>
        <w:t>POINT TO THINK ABOUT</w:t>
      </w:r>
    </w:p>
    <w:p w14:paraId="1BE56A6D" w14:textId="1BA1C233" w:rsidR="001007B9" w:rsidRDefault="001007B9" w:rsidP="00362282">
      <w:pPr>
        <w:pStyle w:val="Heading2"/>
        <w:pBdr>
          <w:bottom w:val="single" w:sz="4" w:space="1" w:color="auto"/>
        </w:pBdr>
      </w:pPr>
    </w:p>
    <w:tbl>
      <w:tblPr>
        <w:tblStyle w:val="TableGrid"/>
        <w:tblW w:w="0" w:type="auto"/>
        <w:tblLook w:val="04A0" w:firstRow="1" w:lastRow="0" w:firstColumn="1" w:lastColumn="0" w:noHBand="0" w:noVBand="1"/>
      </w:tblPr>
      <w:tblGrid>
        <w:gridCol w:w="9016"/>
      </w:tblGrid>
      <w:tr w:rsidR="001007B9" w14:paraId="114DC20C" w14:textId="77777777" w:rsidTr="0057006A">
        <w:tc>
          <w:tcPr>
            <w:tcW w:w="9016" w:type="dxa"/>
            <w:tcBorders>
              <w:top w:val="nil"/>
              <w:left w:val="nil"/>
              <w:bottom w:val="nil"/>
              <w:right w:val="nil"/>
            </w:tcBorders>
            <w:shd w:val="clear" w:color="auto" w:fill="FFFFFF" w:themeFill="background1"/>
          </w:tcPr>
          <w:p w14:paraId="792B6850" w14:textId="38A52F44" w:rsidR="001007B9" w:rsidRDefault="001007B9" w:rsidP="00362282">
            <w:pPr>
              <w:pBdr>
                <w:bottom w:val="single" w:sz="4" w:space="1" w:color="auto"/>
              </w:pBdr>
              <w:jc w:val="center"/>
            </w:pPr>
            <w:r>
              <w:t>Governance structures and their associated reporting cycles must be manageable for both the GB and the senior staff: sub-committees need sufficient members who have the time and opportunity to scrutinise reports; officers need to be able to do their jobs and report the outcomes at meaningful (as well as manageable) intervals.</w:t>
            </w:r>
          </w:p>
        </w:tc>
      </w:tr>
    </w:tbl>
    <w:p w14:paraId="368473BB" w14:textId="77777777" w:rsidR="00B263F0" w:rsidRDefault="00B263F0"/>
    <w:p w14:paraId="762E9F0E" w14:textId="65520D6E" w:rsidR="00CF4045" w:rsidRPr="0087506F" w:rsidRDefault="00366540" w:rsidP="0087506F">
      <w:pPr>
        <w:pStyle w:val="Heading3"/>
        <w:numPr>
          <w:ilvl w:val="0"/>
          <w:numId w:val="11"/>
        </w:numPr>
        <w:ind w:left="357" w:hanging="357"/>
        <w:rPr>
          <w:rFonts w:ascii="Arial" w:hAnsi="Arial" w:cs="Arial"/>
          <w:b/>
          <w:bCs/>
          <w:sz w:val="32"/>
          <w:szCs w:val="32"/>
        </w:rPr>
      </w:pPr>
      <w:r w:rsidRPr="0087506F">
        <w:rPr>
          <w:rFonts w:ascii="Arial" w:hAnsi="Arial" w:cs="Arial"/>
          <w:b/>
          <w:bCs/>
          <w:sz w:val="32"/>
          <w:szCs w:val="32"/>
        </w:rPr>
        <w:lastRenderedPageBreak/>
        <w:t>Length of reports</w:t>
      </w:r>
    </w:p>
    <w:p w14:paraId="00E3BBB1" w14:textId="78932B40" w:rsidR="00CF4045" w:rsidRDefault="00BB16D5" w:rsidP="00CF4045">
      <w:r>
        <w:t xml:space="preserve">Too much information is as big a risk to good governance as too little.  </w:t>
      </w:r>
      <w:r w:rsidR="00CF4045">
        <w:t>As the complexity of an RSL’s business and regulatory environment have grown, with consequently increased expectations on governing bodies, reporting frameworks have expanded significantly.  Governance packs in many RSLs regularly exceed 100 pages: there isn’t always an obvious link between the scale of the RSL’s activities, frequency of meetings and ‘weight’ of the reports pack</w:t>
      </w:r>
      <w:r w:rsidR="001D39B8">
        <w:t xml:space="preserve"> (although it’s important to acknowledge that there isn’t an ‘ideal’ report length or meeting pack ‘size’)</w:t>
      </w:r>
      <w:r w:rsidR="00CF4045">
        <w:t>.</w:t>
      </w:r>
    </w:p>
    <w:p w14:paraId="1052A19B" w14:textId="637B36CD" w:rsidR="000B6BDC" w:rsidRPr="00CF4045" w:rsidRDefault="000B6BDC" w:rsidP="00CF4045">
      <w:r>
        <w:t xml:space="preserve">The table on p6 summarises </w:t>
      </w:r>
      <w:r w:rsidR="003F2466">
        <w:t>some elements to think about in considering the length of reports.</w:t>
      </w:r>
    </w:p>
    <w:tbl>
      <w:tblPr>
        <w:tblStyle w:val="TableGrid"/>
        <w:tblW w:w="0" w:type="auto"/>
        <w:tblLook w:val="04A0" w:firstRow="1" w:lastRow="0" w:firstColumn="1" w:lastColumn="0" w:noHBand="0" w:noVBand="1"/>
      </w:tblPr>
      <w:tblGrid>
        <w:gridCol w:w="3062"/>
        <w:gridCol w:w="3306"/>
        <w:gridCol w:w="2648"/>
      </w:tblGrid>
      <w:tr w:rsidR="004C0ED9" w14:paraId="73019B9E" w14:textId="57B26F93" w:rsidTr="000417DE">
        <w:trPr>
          <w:tblHeader/>
        </w:trPr>
        <w:tc>
          <w:tcPr>
            <w:tcW w:w="3062" w:type="dxa"/>
            <w:shd w:val="clear" w:color="auto" w:fill="B4C6E7" w:themeFill="accent1" w:themeFillTint="66"/>
          </w:tcPr>
          <w:p w14:paraId="72CA93D3" w14:textId="44497352" w:rsidR="004C0ED9" w:rsidRPr="000417DE" w:rsidRDefault="004C0ED9" w:rsidP="007F060A">
            <w:pPr>
              <w:pStyle w:val="Heading3"/>
              <w:rPr>
                <w:b/>
                <w:bCs/>
                <w:color w:val="auto"/>
              </w:rPr>
            </w:pPr>
            <w:r w:rsidRPr="000417DE">
              <w:rPr>
                <w:b/>
                <w:bCs/>
                <w:color w:val="auto"/>
              </w:rPr>
              <w:t>Aim to</w:t>
            </w:r>
          </w:p>
        </w:tc>
        <w:tc>
          <w:tcPr>
            <w:tcW w:w="3306" w:type="dxa"/>
            <w:shd w:val="clear" w:color="auto" w:fill="B4C6E7" w:themeFill="accent1" w:themeFillTint="66"/>
          </w:tcPr>
          <w:p w14:paraId="6095EF13" w14:textId="6FE733B5" w:rsidR="004C0ED9" w:rsidRPr="000417DE" w:rsidRDefault="004C0ED9" w:rsidP="007F060A">
            <w:pPr>
              <w:pStyle w:val="Heading3"/>
              <w:rPr>
                <w:b/>
                <w:bCs/>
                <w:color w:val="auto"/>
              </w:rPr>
            </w:pPr>
            <w:r w:rsidRPr="000417DE">
              <w:rPr>
                <w:b/>
                <w:bCs/>
                <w:color w:val="auto"/>
              </w:rPr>
              <w:t>Why</w:t>
            </w:r>
          </w:p>
        </w:tc>
        <w:tc>
          <w:tcPr>
            <w:tcW w:w="2648" w:type="dxa"/>
            <w:shd w:val="clear" w:color="auto" w:fill="B4C6E7" w:themeFill="accent1" w:themeFillTint="66"/>
          </w:tcPr>
          <w:p w14:paraId="736F476A" w14:textId="0563F429" w:rsidR="004C0ED9" w:rsidRPr="000417DE" w:rsidRDefault="004C0ED9" w:rsidP="007F060A">
            <w:pPr>
              <w:pStyle w:val="Heading3"/>
              <w:rPr>
                <w:b/>
                <w:bCs/>
                <w:color w:val="auto"/>
              </w:rPr>
            </w:pPr>
            <w:r w:rsidRPr="000417DE">
              <w:rPr>
                <w:b/>
                <w:bCs/>
                <w:color w:val="auto"/>
              </w:rPr>
              <w:t>How</w:t>
            </w:r>
          </w:p>
        </w:tc>
      </w:tr>
      <w:tr w:rsidR="004C0ED9" w14:paraId="2C5C8343" w14:textId="0F13B116" w:rsidTr="004C0ED9">
        <w:tc>
          <w:tcPr>
            <w:tcW w:w="3062" w:type="dxa"/>
          </w:tcPr>
          <w:p w14:paraId="1FBBF5EF" w14:textId="18EC33AC" w:rsidR="004C0ED9" w:rsidRDefault="004C0ED9">
            <w:r>
              <w:t xml:space="preserve">Prioritise business on agendas </w:t>
            </w:r>
          </w:p>
        </w:tc>
        <w:tc>
          <w:tcPr>
            <w:tcW w:w="3306" w:type="dxa"/>
          </w:tcPr>
          <w:p w14:paraId="4B24E666" w14:textId="77777777" w:rsidR="004C0ED9" w:rsidRDefault="004C0ED9">
            <w:r>
              <w:t>Ensure adequate time for proper consideration</w:t>
            </w:r>
          </w:p>
          <w:p w14:paraId="0D984D75" w14:textId="77777777" w:rsidR="00C520E0" w:rsidRDefault="00C520E0"/>
          <w:p w14:paraId="5A116D6D" w14:textId="77777777" w:rsidR="004C0ED9" w:rsidRDefault="004C0ED9">
            <w:r>
              <w:t>Avoid rushing important decisions</w:t>
            </w:r>
          </w:p>
          <w:p w14:paraId="49FBCACA" w14:textId="77777777" w:rsidR="00C520E0" w:rsidRDefault="00C520E0"/>
          <w:p w14:paraId="08D69D48" w14:textId="5CDC2839" w:rsidR="00EF2375" w:rsidRDefault="00EF2375">
            <w:r>
              <w:t>Focus governance time where it’s needed</w:t>
            </w:r>
          </w:p>
        </w:tc>
        <w:tc>
          <w:tcPr>
            <w:tcW w:w="2648" w:type="dxa"/>
          </w:tcPr>
          <w:p w14:paraId="56F06D2B" w14:textId="6098EFFF" w:rsidR="00EF2375" w:rsidRDefault="00EF2375">
            <w:r>
              <w:t>Structure agendas to take ‘big’ items first</w:t>
            </w:r>
          </w:p>
          <w:p w14:paraId="2017541A" w14:textId="77777777" w:rsidR="00EF2375" w:rsidRDefault="00EF2375">
            <w:r>
              <w:t>Issue items / reports for information separately (e.g. bulletin; resources library – with alerts to draw attention)</w:t>
            </w:r>
          </w:p>
          <w:p w14:paraId="017D4AF9" w14:textId="3DB9E72A" w:rsidR="002E620E" w:rsidRDefault="002E620E"/>
        </w:tc>
      </w:tr>
      <w:tr w:rsidR="004C0ED9" w14:paraId="784653A3" w14:textId="3EB1EBDA" w:rsidTr="004C0ED9">
        <w:tc>
          <w:tcPr>
            <w:tcW w:w="3062" w:type="dxa"/>
          </w:tcPr>
          <w:p w14:paraId="74246C57" w14:textId="6D50DE13" w:rsidR="004C0ED9" w:rsidRDefault="004C0ED9">
            <w:r>
              <w:t>Lead into decision-making on major issues</w:t>
            </w:r>
          </w:p>
        </w:tc>
        <w:tc>
          <w:tcPr>
            <w:tcW w:w="3306" w:type="dxa"/>
          </w:tcPr>
          <w:p w14:paraId="5F00653F" w14:textId="77777777" w:rsidR="004C0ED9" w:rsidRDefault="004C0ED9">
            <w:r>
              <w:t>Support GBMs to develop knowledge and understanding of proposals; impact; risk; cost; benefit</w:t>
            </w:r>
          </w:p>
          <w:p w14:paraId="67187AFF" w14:textId="77777777" w:rsidR="00C520E0" w:rsidRDefault="00C520E0"/>
          <w:p w14:paraId="680BAF7A" w14:textId="0394CE22" w:rsidR="004C0ED9" w:rsidRDefault="004C0ED9">
            <w:r>
              <w:t>Access GBM’s specialist knowledge/experience; enable GBMs to contribute to shaping proposals</w:t>
            </w:r>
          </w:p>
          <w:p w14:paraId="385E6D21" w14:textId="77777777" w:rsidR="00C520E0" w:rsidRDefault="00C520E0"/>
          <w:p w14:paraId="345D3EFE" w14:textId="2618D910" w:rsidR="004C0ED9" w:rsidRDefault="004C0ED9">
            <w:r>
              <w:t>Ensure GB actively leading and directing strategy</w:t>
            </w:r>
          </w:p>
        </w:tc>
        <w:tc>
          <w:tcPr>
            <w:tcW w:w="2648" w:type="dxa"/>
          </w:tcPr>
          <w:p w14:paraId="4BB19D09" w14:textId="7EB49F20" w:rsidR="004C0ED9" w:rsidRDefault="00EF2375">
            <w:r>
              <w:t>Adopt incremental approach to consideration of major proposals e.g. ‘setting the scene’ via preliminary/ exploratory report</w:t>
            </w:r>
          </w:p>
          <w:p w14:paraId="2903F679" w14:textId="77777777" w:rsidR="002E620E" w:rsidRDefault="002E620E"/>
          <w:p w14:paraId="456DE03B" w14:textId="49287D42" w:rsidR="00C7654F" w:rsidRDefault="00C7654F">
            <w:r>
              <w:t>Consider pre-GB sessions to provide essential/useful background/ preliminary information</w:t>
            </w:r>
          </w:p>
          <w:p w14:paraId="188FE077" w14:textId="77777777" w:rsidR="002E620E" w:rsidRDefault="002E620E"/>
          <w:p w14:paraId="70761045" w14:textId="5818AB3B" w:rsidR="00EF2375" w:rsidRDefault="00EF2375">
            <w:r>
              <w:t>Present options to direct development of preferred proposal(s)</w:t>
            </w:r>
          </w:p>
          <w:p w14:paraId="58792F44" w14:textId="77777777" w:rsidR="002E620E" w:rsidRDefault="002E620E"/>
          <w:p w14:paraId="6A0317EF" w14:textId="77777777" w:rsidR="00EF2375" w:rsidRDefault="00EF2375">
            <w:r>
              <w:t>Agree decision-making timetable in advance, taking account of e.g. implementation milestones</w:t>
            </w:r>
          </w:p>
          <w:p w14:paraId="4AB1E948" w14:textId="3B78044D" w:rsidR="006A6C21" w:rsidRDefault="006A6C21"/>
        </w:tc>
      </w:tr>
      <w:tr w:rsidR="004C0ED9" w14:paraId="15C9C6DC" w14:textId="264F415B" w:rsidTr="004C0ED9">
        <w:tc>
          <w:tcPr>
            <w:tcW w:w="3062" w:type="dxa"/>
          </w:tcPr>
          <w:p w14:paraId="3D038B5A" w14:textId="356893E5" w:rsidR="004C0ED9" w:rsidRDefault="00EF2375">
            <w:r>
              <w:lastRenderedPageBreak/>
              <w:t>Ensure reports tell the GB what it needs to know</w:t>
            </w:r>
          </w:p>
        </w:tc>
        <w:tc>
          <w:tcPr>
            <w:tcW w:w="3306" w:type="dxa"/>
          </w:tcPr>
          <w:p w14:paraId="4C05CE57" w14:textId="0B55FF9A" w:rsidR="004C0ED9" w:rsidRDefault="006030FC">
            <w:r>
              <w:t>Direct attention to key issues; ensure clarity of report’s purpose &amp; role / responsibility of GB</w:t>
            </w:r>
          </w:p>
        </w:tc>
        <w:tc>
          <w:tcPr>
            <w:tcW w:w="2648" w:type="dxa"/>
          </w:tcPr>
          <w:p w14:paraId="0EF9E3C7" w14:textId="3B16000B" w:rsidR="004C0ED9" w:rsidRDefault="006030FC">
            <w:r>
              <w:t>Specify purpose of report</w:t>
            </w:r>
            <w:r w:rsidR="00EA3C92">
              <w:t xml:space="preserve">; be </w:t>
            </w:r>
            <w:r>
              <w:t>explicit; ensure content is directly linked to purpose; consider how the information will support the GB to reach a decision</w:t>
            </w:r>
          </w:p>
          <w:p w14:paraId="6C5A809C" w14:textId="77777777" w:rsidR="002E620E" w:rsidRDefault="002E620E"/>
          <w:p w14:paraId="21AD456B" w14:textId="026952E7" w:rsidR="006030FC" w:rsidRDefault="006030FC">
            <w:r>
              <w:t>Provide background etc. separately</w:t>
            </w:r>
            <w:r w:rsidR="00EA3C92">
              <w:t>,</w:t>
            </w:r>
            <w:r>
              <w:t xml:space="preserve"> while ensuring report is ‘stand-alone’</w:t>
            </w:r>
          </w:p>
          <w:p w14:paraId="3D43BFA9" w14:textId="77777777" w:rsidR="00C2161F" w:rsidRDefault="00C2161F"/>
          <w:p w14:paraId="47567C90" w14:textId="12EE8578" w:rsidR="006030FC" w:rsidRDefault="006030FC">
            <w:r>
              <w:t>Summarise additional /specialist advice – but offer separate, full access</w:t>
            </w:r>
          </w:p>
          <w:p w14:paraId="498AFD80" w14:textId="56675874" w:rsidR="006030FC" w:rsidRDefault="006030FC"/>
        </w:tc>
      </w:tr>
      <w:tr w:rsidR="004C0ED9" w14:paraId="5B50FF1F" w14:textId="742BEF3D" w:rsidTr="004C0ED9">
        <w:tc>
          <w:tcPr>
            <w:tcW w:w="3062" w:type="dxa"/>
          </w:tcPr>
          <w:p w14:paraId="78DEA4EF" w14:textId="244AE9C8" w:rsidR="004C0ED9" w:rsidRDefault="00627BC7">
            <w:r>
              <w:t xml:space="preserve">Invite questions </w:t>
            </w:r>
            <w:r w:rsidR="00EA3C92">
              <w:t xml:space="preserve">on points of detail and for clarification </w:t>
            </w:r>
            <w:r>
              <w:t xml:space="preserve">in advance of meetings; share all questions and responses with </w:t>
            </w:r>
            <w:r w:rsidR="009773C9">
              <w:t>GB</w:t>
            </w:r>
          </w:p>
        </w:tc>
        <w:tc>
          <w:tcPr>
            <w:tcW w:w="3306" w:type="dxa"/>
          </w:tcPr>
          <w:p w14:paraId="0BC96DA5" w14:textId="77777777" w:rsidR="004C0ED9" w:rsidRDefault="00627BC7">
            <w:r>
              <w:t>Ensure meeting time used effectively</w:t>
            </w:r>
          </w:p>
          <w:p w14:paraId="23F03288" w14:textId="77777777" w:rsidR="00C2161F" w:rsidRDefault="00C2161F"/>
          <w:p w14:paraId="3F1A9DAD" w14:textId="77777777" w:rsidR="00627BC7" w:rsidRDefault="00627BC7">
            <w:r>
              <w:t>Provide opportunity for further research information to be available to support report consideration</w:t>
            </w:r>
          </w:p>
          <w:p w14:paraId="71867D9E" w14:textId="77777777" w:rsidR="00C2161F" w:rsidRDefault="00C2161F"/>
          <w:p w14:paraId="106A5BD0" w14:textId="3F68107F" w:rsidR="00627BC7" w:rsidRDefault="00627BC7">
            <w:r>
              <w:t>Reduce risk of being unable to reach conclusion / need to defer</w:t>
            </w:r>
          </w:p>
        </w:tc>
        <w:tc>
          <w:tcPr>
            <w:tcW w:w="2648" w:type="dxa"/>
          </w:tcPr>
          <w:p w14:paraId="78E9BAE2" w14:textId="25B727FC" w:rsidR="004C0ED9" w:rsidRDefault="00627BC7">
            <w:r>
              <w:t>Clearly identify report author &amp; contact details</w:t>
            </w:r>
          </w:p>
          <w:p w14:paraId="0B7EAEBC" w14:textId="77777777" w:rsidR="00C2161F" w:rsidRDefault="00C2161F"/>
          <w:p w14:paraId="6869090E" w14:textId="0D9E5C74" w:rsidR="00627BC7" w:rsidRDefault="00627BC7">
            <w:r>
              <w:t>Issue papers in sufficient time for adequate preparation and resolution of queries</w:t>
            </w:r>
          </w:p>
          <w:p w14:paraId="33484483" w14:textId="77777777" w:rsidR="00C2161F" w:rsidRDefault="00C2161F"/>
          <w:p w14:paraId="5485EBE6" w14:textId="6C9906AB" w:rsidR="00627BC7" w:rsidRDefault="009773C9" w:rsidP="009773C9">
            <w:r>
              <w:t xml:space="preserve">Notes via digital governance platforms; written summary immediately prior to meeting; summarise in report presentation </w:t>
            </w:r>
          </w:p>
        </w:tc>
      </w:tr>
      <w:tr w:rsidR="004C0ED9" w14:paraId="72EF2006" w14:textId="30B7B065" w:rsidTr="004C0ED9">
        <w:tc>
          <w:tcPr>
            <w:tcW w:w="3062" w:type="dxa"/>
          </w:tcPr>
          <w:p w14:paraId="4D5829D1" w14:textId="5CAD40C8" w:rsidR="004C0ED9" w:rsidRDefault="009773C9">
            <w:r>
              <w:t>Support effective preparation for meetings</w:t>
            </w:r>
          </w:p>
        </w:tc>
        <w:tc>
          <w:tcPr>
            <w:tcW w:w="3306" w:type="dxa"/>
          </w:tcPr>
          <w:p w14:paraId="4A4923CC" w14:textId="08011ABC" w:rsidR="004C0ED9" w:rsidRDefault="009773C9">
            <w:r>
              <w:t>Enable GBMs to fulfil their role; direct attention where it needs to focus</w:t>
            </w:r>
          </w:p>
        </w:tc>
        <w:tc>
          <w:tcPr>
            <w:tcW w:w="2648" w:type="dxa"/>
          </w:tcPr>
          <w:p w14:paraId="5EBA02E8" w14:textId="77777777" w:rsidR="004C0ED9" w:rsidRDefault="009773C9">
            <w:r>
              <w:t>Adopt standard report template</w:t>
            </w:r>
          </w:p>
          <w:p w14:paraId="697E8F3B" w14:textId="77777777" w:rsidR="00C2161F" w:rsidRDefault="00C2161F"/>
          <w:p w14:paraId="5D73A435" w14:textId="387FC731" w:rsidR="009773C9" w:rsidRDefault="009773C9">
            <w:r>
              <w:t>Specify purpose</w:t>
            </w:r>
            <w:r w:rsidR="001208C8">
              <w:t xml:space="preserve"> </w:t>
            </w:r>
            <w:r>
              <w:t>/ link to strategic objectives</w:t>
            </w:r>
          </w:p>
          <w:p w14:paraId="45FD2E8D" w14:textId="77777777" w:rsidR="009773C9" w:rsidRDefault="009773C9">
            <w:r>
              <w:t>Identify finance / risk / tenant impact / compliance factors</w:t>
            </w:r>
          </w:p>
          <w:p w14:paraId="6EDB7A8C" w14:textId="77777777" w:rsidR="00C2161F" w:rsidRDefault="00C2161F"/>
          <w:p w14:paraId="11F6E45E" w14:textId="2730E844" w:rsidR="00536694" w:rsidRDefault="00536694">
            <w:r>
              <w:t>Keep appendices to a minimum</w:t>
            </w:r>
          </w:p>
        </w:tc>
      </w:tr>
    </w:tbl>
    <w:p w14:paraId="54E5B489" w14:textId="77777777" w:rsidR="00536694" w:rsidRDefault="00536694"/>
    <w:p w14:paraId="77401857" w14:textId="322CE7E9" w:rsidR="00536694" w:rsidRPr="00824FB5" w:rsidRDefault="00536694" w:rsidP="001B6706">
      <w:pPr>
        <w:pStyle w:val="Heading2"/>
        <w:numPr>
          <w:ilvl w:val="0"/>
          <w:numId w:val="11"/>
        </w:numPr>
        <w:ind w:left="357" w:hanging="357"/>
        <w:rPr>
          <w:rFonts w:ascii="Arial" w:hAnsi="Arial" w:cs="Arial"/>
          <w:b/>
          <w:bCs/>
        </w:rPr>
      </w:pPr>
      <w:r w:rsidRPr="00824FB5">
        <w:rPr>
          <w:rFonts w:ascii="Arial" w:hAnsi="Arial" w:cs="Arial"/>
          <w:b/>
          <w:bCs/>
        </w:rPr>
        <w:lastRenderedPageBreak/>
        <w:t xml:space="preserve">Report </w:t>
      </w:r>
      <w:r w:rsidR="00A33A38" w:rsidRPr="00824FB5">
        <w:rPr>
          <w:rFonts w:ascii="Arial" w:hAnsi="Arial" w:cs="Arial"/>
          <w:b/>
          <w:bCs/>
        </w:rPr>
        <w:t>Styles</w:t>
      </w:r>
      <w:r w:rsidR="00D14B5C" w:rsidRPr="00824FB5">
        <w:rPr>
          <w:rFonts w:ascii="Arial" w:hAnsi="Arial" w:cs="Arial"/>
          <w:b/>
          <w:bCs/>
        </w:rPr>
        <w:t xml:space="preserve"> and templates</w:t>
      </w:r>
    </w:p>
    <w:p w14:paraId="212EF1B1" w14:textId="7A996B67" w:rsidR="00A33A38" w:rsidRDefault="00A33A38" w:rsidP="00A33A38">
      <w:r>
        <w:t>A</w:t>
      </w:r>
      <w:r w:rsidR="00EA3C92">
        <w:t>s a general principle, a</w:t>
      </w:r>
      <w:r>
        <w:t>ll agenda items should be supported by a report that is circulated in advance of the meeting: standing orders usually include a requirement for a written report and set out the advance circulation requirements (e.g. “…all agenda items will be the subject of a written report that is issued as part of the agenda pack, at least seven days before the meeting”).</w:t>
      </w:r>
      <w:r w:rsidRPr="00A33A38">
        <w:t xml:space="preserve"> </w:t>
      </w:r>
      <w:r>
        <w:t xml:space="preserve"> It’s also important to consider the most effective format for presenting information: charts and graphics that show out-turns, trends and forecasts are likely to be more effective than pages of narrative; detailed explanations may be clearer if they are communicated by a graphic presentation at a meeting (or pre-decision briefing) –  supported by a written report.  </w:t>
      </w:r>
    </w:p>
    <w:p w14:paraId="1D4A115A" w14:textId="68511228" w:rsidR="00E26163" w:rsidRDefault="00536694">
      <w:r>
        <w:t>Many RSLs have adopted standard report templates that aim to provide a consistent style for all reports.  This should mean that GBMs are able to navigate reports easily, knowing where to look for specific information (e.g. recommendations, tenant consultation outcomes / impact, risk assessment, financial impact)</w:t>
      </w:r>
      <w:r w:rsidR="004C5112">
        <w:t xml:space="preserve">.  </w:t>
      </w:r>
      <w:r w:rsidR="00E26163">
        <w:t>GBMs should be consulted about any templates to ensure that they are effective: opinions vary on some of the basic considerations</w:t>
      </w:r>
      <w:r w:rsidR="00A33A38">
        <w:t>,</w:t>
      </w:r>
      <w:r w:rsidR="00E26163">
        <w:t xml:space="preserve"> such as the overall length of reports, whether recommendations should appear at the start or conclusion, the benefits of an executive summary – and how long it should be</w:t>
      </w:r>
      <w:r w:rsidR="00A33A38">
        <w:t xml:space="preserve"> – so consensus about the preferred approach is essential</w:t>
      </w:r>
      <w:r w:rsidR="00E26163">
        <w:t>.</w:t>
      </w:r>
      <w:r w:rsidR="00A33A38">
        <w:t xml:space="preserve">  It’s also important to periodically review the form of reporting – reporting styles should adapt as the RSL’s strategic priorities and business objectives evolve and the composition of the GB changes.</w:t>
      </w:r>
    </w:p>
    <w:p w14:paraId="4262153E" w14:textId="3ACC3A58" w:rsidR="00273F15" w:rsidRDefault="004C5112">
      <w:r>
        <w:t xml:space="preserve">Often, the template includes a summary of key information, including risk, </w:t>
      </w:r>
      <w:r w:rsidR="00E26163">
        <w:t xml:space="preserve">regulatory and legal </w:t>
      </w:r>
      <w:r>
        <w:t>compliance, finance</w:t>
      </w:r>
      <w:r w:rsidR="00E26163">
        <w:t>, strategic alignment</w:t>
      </w:r>
      <w:r>
        <w:t xml:space="preserve"> etc.</w:t>
      </w:r>
      <w:r w:rsidR="00E26163">
        <w:t xml:space="preserve">  It can be useful to think of this summary as an impact assessment which succinctly identifies </w:t>
      </w:r>
      <w:r w:rsidR="003600AD">
        <w:t>the purpose and key issues / considerations of the matter.</w:t>
      </w:r>
      <w:r w:rsidR="00E26163">
        <w:t xml:space="preserve">  </w:t>
      </w:r>
      <w:r>
        <w:t xml:space="preserve">How useful this approach is </w:t>
      </w:r>
      <w:r w:rsidR="00E26163">
        <w:t xml:space="preserve">will </w:t>
      </w:r>
      <w:r>
        <w:t>depend entirely on how effectively it is used</w:t>
      </w:r>
      <w:r w:rsidR="009966BB">
        <w:t xml:space="preserve"> by the author</w:t>
      </w:r>
      <w:r>
        <w:t>: if the summary</w:t>
      </w:r>
      <w:r w:rsidR="009966BB">
        <w:t xml:space="preserve"> / impact assessment</w:t>
      </w:r>
      <w:r>
        <w:t xml:space="preserve"> is populated as an afterthought, without being ‘tailored’ to the specific report that it accompanies, it can be counter-productive</w:t>
      </w:r>
      <w:r w:rsidR="00E26163">
        <w:t xml:space="preserve"> – a chore to produce and, potentially, frustrating to read!</w:t>
      </w:r>
      <w:r w:rsidR="009966BB">
        <w:t xml:space="preserve">   </w:t>
      </w:r>
      <w:r w:rsidR="009966BB" w:rsidRPr="00273F15">
        <w:rPr>
          <w:b/>
          <w:bCs/>
        </w:rPr>
        <w:t xml:space="preserve">Appendix </w:t>
      </w:r>
      <w:r w:rsidR="00F07DA8" w:rsidRPr="00273F15">
        <w:rPr>
          <w:b/>
          <w:bCs/>
        </w:rPr>
        <w:t>A</w:t>
      </w:r>
      <w:r w:rsidR="009966BB">
        <w:t xml:space="preserve"> provides some s</w:t>
      </w:r>
      <w:r w:rsidR="00E26163">
        <w:t>uggestions</w:t>
      </w:r>
      <w:r w:rsidR="009966BB">
        <w:t xml:space="preserve"> of what to aim for and what to avoid</w:t>
      </w:r>
      <w:r w:rsidR="00191828">
        <w:t xml:space="preserve"> </w:t>
      </w:r>
      <w:r w:rsidR="003600AD">
        <w:t xml:space="preserve">when </w:t>
      </w:r>
      <w:r w:rsidR="00F64689">
        <w:t xml:space="preserve">completing </w:t>
      </w:r>
      <w:r w:rsidR="00191828">
        <w:t xml:space="preserve">reporting templates. </w:t>
      </w:r>
    </w:p>
    <w:p w14:paraId="2639D8D8" w14:textId="6E982619" w:rsidR="00536694" w:rsidRDefault="00126232">
      <w:r>
        <w:t xml:space="preserve">As part of the development of this guidance, </w:t>
      </w:r>
      <w:proofErr w:type="gramStart"/>
      <w:r>
        <w:t xml:space="preserve">a number </w:t>
      </w:r>
      <w:r w:rsidR="007F5941">
        <w:t>of</w:t>
      </w:r>
      <w:proofErr w:type="gramEnd"/>
      <w:r w:rsidR="007F5941">
        <w:t xml:space="preserve"> RSLs provided examples of their summaries/impact assessments.  T</w:t>
      </w:r>
      <w:r w:rsidR="009D0970">
        <w:t xml:space="preserve">he table below highlights information </w:t>
      </w:r>
      <w:r w:rsidR="007F5941">
        <w:t xml:space="preserve">that is </w:t>
      </w:r>
      <w:r w:rsidR="003C436C">
        <w:t xml:space="preserve">typically </w:t>
      </w:r>
      <w:r w:rsidR="007F5941">
        <w:t>included</w:t>
      </w:r>
      <w:r w:rsidR="003C436C">
        <w:t>:</w:t>
      </w:r>
    </w:p>
    <w:p w14:paraId="0485441C" w14:textId="77777777" w:rsidR="006E1DFD" w:rsidRDefault="006E1DFD"/>
    <w:p w14:paraId="768CD6FD" w14:textId="77777777" w:rsidR="006E1DFD" w:rsidRDefault="006E1DFD"/>
    <w:p w14:paraId="4DE1FFF8" w14:textId="77777777" w:rsidR="006E1DFD" w:rsidRDefault="006E1DFD"/>
    <w:tbl>
      <w:tblPr>
        <w:tblStyle w:val="TableGrid"/>
        <w:tblW w:w="0" w:type="auto"/>
        <w:tblLook w:val="04A0" w:firstRow="1" w:lastRow="0" w:firstColumn="1" w:lastColumn="0" w:noHBand="0" w:noVBand="1"/>
      </w:tblPr>
      <w:tblGrid>
        <w:gridCol w:w="9016"/>
      </w:tblGrid>
      <w:tr w:rsidR="009D0970" w14:paraId="4AFA20F9" w14:textId="77777777" w:rsidTr="000417DE">
        <w:tc>
          <w:tcPr>
            <w:tcW w:w="9016" w:type="dxa"/>
            <w:shd w:val="clear" w:color="auto" w:fill="B4C6E7" w:themeFill="accent1" w:themeFillTint="66"/>
          </w:tcPr>
          <w:p w14:paraId="42156CC2" w14:textId="22D5FBCF" w:rsidR="009D0970" w:rsidRPr="000417DE" w:rsidRDefault="009D0970" w:rsidP="0061338B">
            <w:pPr>
              <w:pStyle w:val="Heading3"/>
              <w:rPr>
                <w:rFonts w:ascii="Arial" w:hAnsi="Arial" w:cs="Arial"/>
                <w:b/>
                <w:bCs/>
              </w:rPr>
            </w:pPr>
            <w:r w:rsidRPr="000417DE">
              <w:rPr>
                <w:rFonts w:ascii="Arial" w:hAnsi="Arial" w:cs="Arial"/>
                <w:b/>
                <w:bCs/>
                <w:color w:val="auto"/>
              </w:rPr>
              <w:lastRenderedPageBreak/>
              <w:t>Impact/Summary</w:t>
            </w:r>
          </w:p>
        </w:tc>
      </w:tr>
      <w:tr w:rsidR="009D0970" w14:paraId="567C782F" w14:textId="77777777" w:rsidTr="009D0970">
        <w:tc>
          <w:tcPr>
            <w:tcW w:w="9016" w:type="dxa"/>
          </w:tcPr>
          <w:p w14:paraId="0F3685F8" w14:textId="64F7D497" w:rsidR="00C52AAB" w:rsidRDefault="00C52AAB" w:rsidP="00E22C00">
            <w:pPr>
              <w:pStyle w:val="ListParagraph"/>
              <w:numPr>
                <w:ilvl w:val="0"/>
                <w:numId w:val="3"/>
              </w:numPr>
            </w:pPr>
            <w:r>
              <w:t>Purpose: decision; assurance; oversight / monitoring; consideration / discussion; approval</w:t>
            </w:r>
            <w:r w:rsidR="000941F7">
              <w:rPr>
                <w:rStyle w:val="FootnoteReference"/>
              </w:rPr>
              <w:footnoteReference w:id="13"/>
            </w:r>
          </w:p>
          <w:p w14:paraId="3DF33824" w14:textId="48CC3280" w:rsidR="009D0970" w:rsidRDefault="009D0970" w:rsidP="00E22C00">
            <w:pPr>
              <w:pStyle w:val="ListParagraph"/>
              <w:numPr>
                <w:ilvl w:val="0"/>
                <w:numId w:val="3"/>
              </w:numPr>
            </w:pPr>
            <w:r>
              <w:t xml:space="preserve">Corporate / Strategic Objective: </w:t>
            </w:r>
            <w:r w:rsidR="00A60FB2">
              <w:t xml:space="preserve">e.g. </w:t>
            </w:r>
            <w:r>
              <w:t>business plan</w:t>
            </w:r>
            <w:r w:rsidR="00A60FB2">
              <w:t xml:space="preserve"> / asset management strategy tenant engagement strategy</w:t>
            </w:r>
            <w:r>
              <w:t xml:space="preserve"> alignment</w:t>
            </w:r>
          </w:p>
          <w:p w14:paraId="6880EC19" w14:textId="27C9EE86" w:rsidR="00C52AAB" w:rsidRDefault="00C52AAB" w:rsidP="00E22C00">
            <w:pPr>
              <w:pStyle w:val="ListParagraph"/>
              <w:numPr>
                <w:ilvl w:val="0"/>
                <w:numId w:val="3"/>
              </w:numPr>
            </w:pPr>
            <w:r>
              <w:t>Legal implications / compliance / consequences</w:t>
            </w:r>
          </w:p>
          <w:p w14:paraId="399C82CE" w14:textId="2EA31AE6" w:rsidR="00C52AAB" w:rsidRDefault="00C52AAB" w:rsidP="00E22C00">
            <w:pPr>
              <w:pStyle w:val="ListParagraph"/>
              <w:numPr>
                <w:ilvl w:val="0"/>
                <w:numId w:val="3"/>
              </w:numPr>
            </w:pPr>
            <w:r>
              <w:t>Regulatory compliance (e.g. compliance with standards; reporting requirements; Notifiable Events; link to Engagement Plan etc)</w:t>
            </w:r>
          </w:p>
          <w:p w14:paraId="2D7E560D" w14:textId="6E217FB3" w:rsidR="00C52AAB" w:rsidRDefault="00C52AAB" w:rsidP="00E22C00">
            <w:pPr>
              <w:pStyle w:val="ListParagraph"/>
              <w:numPr>
                <w:ilvl w:val="0"/>
                <w:numId w:val="3"/>
              </w:numPr>
            </w:pPr>
            <w:r>
              <w:t xml:space="preserve">Constitutional compliance (e.g. within permitted activities or borrowing capacity) </w:t>
            </w:r>
          </w:p>
          <w:p w14:paraId="2F4954C3" w14:textId="76F5EFB4" w:rsidR="009D0970" w:rsidRDefault="009D0970" w:rsidP="00E22C00">
            <w:pPr>
              <w:pStyle w:val="ListParagraph"/>
              <w:numPr>
                <w:ilvl w:val="0"/>
                <w:numId w:val="3"/>
              </w:numPr>
            </w:pPr>
            <w:r>
              <w:t>Effect / benefit to tenants</w:t>
            </w:r>
            <w:r w:rsidR="00EF45F9">
              <w:t xml:space="preserve"> (e.g. performance and service delivery change / improvement) </w:t>
            </w:r>
          </w:p>
          <w:p w14:paraId="61ACB0DD" w14:textId="38FF83A6" w:rsidR="009D0970" w:rsidRDefault="009D0970" w:rsidP="00E22C00">
            <w:pPr>
              <w:pStyle w:val="ListParagraph"/>
              <w:numPr>
                <w:ilvl w:val="0"/>
                <w:numId w:val="3"/>
              </w:numPr>
            </w:pPr>
            <w:r>
              <w:t>Budget implications</w:t>
            </w:r>
          </w:p>
          <w:p w14:paraId="32A3AB05" w14:textId="37485062" w:rsidR="009D0970" w:rsidRDefault="009D0970" w:rsidP="00E22C00">
            <w:pPr>
              <w:pStyle w:val="ListParagraph"/>
              <w:numPr>
                <w:ilvl w:val="0"/>
                <w:numId w:val="3"/>
              </w:numPr>
            </w:pPr>
            <w:r>
              <w:t>Risk assessment</w:t>
            </w:r>
          </w:p>
          <w:p w14:paraId="718B848E" w14:textId="49AF06CD" w:rsidR="00EF45F9" w:rsidRDefault="00EF45F9" w:rsidP="00E22C00">
            <w:pPr>
              <w:pStyle w:val="ListParagraph"/>
              <w:numPr>
                <w:ilvl w:val="0"/>
                <w:numId w:val="3"/>
              </w:numPr>
            </w:pPr>
            <w:r>
              <w:t>Tenant / Resident</w:t>
            </w:r>
            <w:r w:rsidR="00A60FB2">
              <w:t xml:space="preserve"> Safety and Health and</w:t>
            </w:r>
            <w:r>
              <w:t xml:space="preserve"> Safety implications</w:t>
            </w:r>
          </w:p>
          <w:p w14:paraId="3DFC2BA9" w14:textId="5CB5738A" w:rsidR="00E22C00" w:rsidRDefault="00E22C00" w:rsidP="00E22C00">
            <w:pPr>
              <w:pStyle w:val="ListParagraph"/>
              <w:numPr>
                <w:ilvl w:val="0"/>
                <w:numId w:val="3"/>
              </w:numPr>
            </w:pPr>
            <w:r>
              <w:t xml:space="preserve">Assurance reference – how does report support </w:t>
            </w:r>
            <w:proofErr w:type="gramStart"/>
            <w:r>
              <w:t>assurance;</w:t>
            </w:r>
            <w:proofErr w:type="gramEnd"/>
            <w:r>
              <w:t xml:space="preserve"> link to evidence bank</w:t>
            </w:r>
          </w:p>
          <w:p w14:paraId="469E12B9" w14:textId="4C25A212" w:rsidR="009D0970" w:rsidRDefault="009D0970" w:rsidP="00E22C00">
            <w:pPr>
              <w:pStyle w:val="ListParagraph"/>
              <w:numPr>
                <w:ilvl w:val="0"/>
                <w:numId w:val="3"/>
              </w:numPr>
            </w:pPr>
            <w:r>
              <w:t>Resource requirements (staffing, equipment, accommodation etc)</w:t>
            </w:r>
          </w:p>
          <w:p w14:paraId="3210A1FC" w14:textId="4953FAB1" w:rsidR="009D0970" w:rsidRDefault="00C52AAB" w:rsidP="00E22C00">
            <w:pPr>
              <w:pStyle w:val="ListParagraph"/>
              <w:numPr>
                <w:ilvl w:val="0"/>
                <w:numId w:val="3"/>
              </w:numPr>
            </w:pPr>
            <w:r>
              <w:t>to support proposals (internal and external / specialist)</w:t>
            </w:r>
          </w:p>
          <w:p w14:paraId="1B4BFB0C" w14:textId="4B5630DB" w:rsidR="00C52AAB" w:rsidRDefault="00C52AAB" w:rsidP="00E22C00">
            <w:pPr>
              <w:pStyle w:val="ListParagraph"/>
              <w:numPr>
                <w:ilvl w:val="0"/>
                <w:numId w:val="3"/>
              </w:numPr>
            </w:pPr>
            <w:r>
              <w:t>Status i.e. open / confidential / restricted etc.</w:t>
            </w:r>
          </w:p>
          <w:p w14:paraId="35494A7E" w14:textId="77777777" w:rsidR="009D0970" w:rsidRDefault="00C52AAB" w:rsidP="00E22C00">
            <w:pPr>
              <w:pStyle w:val="ListParagraph"/>
              <w:numPr>
                <w:ilvl w:val="0"/>
                <w:numId w:val="3"/>
              </w:numPr>
            </w:pPr>
            <w:r>
              <w:t>Identify relevant evidence (e.g. tenant satisfaction; performance data; internal audit recommendations)</w:t>
            </w:r>
          </w:p>
          <w:p w14:paraId="3B21BDF8" w14:textId="77777777" w:rsidR="00C52AAB" w:rsidRDefault="00C52AAB" w:rsidP="00E22C00">
            <w:pPr>
              <w:pStyle w:val="ListParagraph"/>
              <w:numPr>
                <w:ilvl w:val="0"/>
                <w:numId w:val="3"/>
              </w:numPr>
            </w:pPr>
            <w:r>
              <w:t>Equalities, Diversity, Human Rights Considerations</w:t>
            </w:r>
          </w:p>
          <w:p w14:paraId="04D42261" w14:textId="77777777" w:rsidR="00C52AAB" w:rsidRDefault="00C52AAB" w:rsidP="00E22C00">
            <w:pPr>
              <w:pStyle w:val="ListParagraph"/>
              <w:numPr>
                <w:ilvl w:val="0"/>
                <w:numId w:val="3"/>
              </w:numPr>
            </w:pPr>
            <w:r>
              <w:t>Data Protection Implications</w:t>
            </w:r>
          </w:p>
          <w:p w14:paraId="4CFD34F0" w14:textId="678BF006" w:rsidR="00EF45F9" w:rsidRDefault="00EF45F9" w:rsidP="00E22C00">
            <w:pPr>
              <w:pStyle w:val="ListParagraph"/>
              <w:numPr>
                <w:ilvl w:val="0"/>
                <w:numId w:val="3"/>
              </w:numPr>
            </w:pPr>
            <w:r>
              <w:t xml:space="preserve">Environmental Impact </w:t>
            </w:r>
          </w:p>
          <w:p w14:paraId="5E3C4F85" w14:textId="700A0F63" w:rsidR="00C52AAB" w:rsidRDefault="00C52AAB" w:rsidP="00E22C00">
            <w:pPr>
              <w:pStyle w:val="ListParagraph"/>
              <w:numPr>
                <w:ilvl w:val="0"/>
                <w:numId w:val="3"/>
              </w:numPr>
            </w:pPr>
            <w:r>
              <w:t>Publication – FOI; Publication Scheme requirements</w:t>
            </w:r>
          </w:p>
          <w:p w14:paraId="1EF08E9A" w14:textId="77777777" w:rsidR="00E22C00" w:rsidRDefault="00E22C00" w:rsidP="00E22C00">
            <w:pPr>
              <w:pStyle w:val="ListParagraph"/>
              <w:numPr>
                <w:ilvl w:val="0"/>
                <w:numId w:val="3"/>
              </w:numPr>
            </w:pPr>
            <w:r>
              <w:t>Report Author &amp; contact details</w:t>
            </w:r>
          </w:p>
          <w:p w14:paraId="78CFC9C5" w14:textId="2E767813" w:rsidR="005E35B7" w:rsidRDefault="005E35B7" w:rsidP="005E35B7">
            <w:pPr>
              <w:pStyle w:val="ListParagraph"/>
            </w:pPr>
          </w:p>
        </w:tc>
      </w:tr>
    </w:tbl>
    <w:p w14:paraId="729AE4EF" w14:textId="77777777" w:rsidR="001335BA" w:rsidRDefault="001335BA" w:rsidP="001335BA">
      <w:pPr>
        <w:pStyle w:val="ListParagraph"/>
        <w:ind w:left="357"/>
        <w:rPr>
          <w:b/>
          <w:bCs/>
          <w:color w:val="2F5496" w:themeColor="accent1" w:themeShade="BF"/>
          <w:sz w:val="32"/>
          <w:szCs w:val="32"/>
        </w:rPr>
      </w:pPr>
    </w:p>
    <w:p w14:paraId="7C755B22" w14:textId="13C7C9F1" w:rsidR="00291B29" w:rsidRPr="00824FB5" w:rsidRDefault="00291B29" w:rsidP="005E35B7">
      <w:pPr>
        <w:pStyle w:val="ListParagraph"/>
        <w:numPr>
          <w:ilvl w:val="0"/>
          <w:numId w:val="11"/>
        </w:numPr>
        <w:ind w:left="357" w:hanging="357"/>
        <w:rPr>
          <w:b/>
          <w:bCs/>
          <w:color w:val="2F5496" w:themeColor="accent1" w:themeShade="BF"/>
          <w:sz w:val="32"/>
          <w:szCs w:val="32"/>
        </w:rPr>
      </w:pPr>
      <w:r w:rsidRPr="00824FB5">
        <w:rPr>
          <w:b/>
          <w:bCs/>
          <w:color w:val="2F5496" w:themeColor="accent1" w:themeShade="BF"/>
          <w:sz w:val="32"/>
          <w:szCs w:val="32"/>
        </w:rPr>
        <w:t>Including the right content</w:t>
      </w:r>
    </w:p>
    <w:p w14:paraId="1AFDA7C9" w14:textId="489A1C2F" w:rsidR="00F732A9" w:rsidRDefault="00AE1DB5">
      <w:r>
        <w:t xml:space="preserve">Individual </w:t>
      </w:r>
      <w:r w:rsidR="00E16BFA">
        <w:t xml:space="preserve">GBs and </w:t>
      </w:r>
      <w:r>
        <w:t xml:space="preserve">GBMs have diverse expectations about </w:t>
      </w:r>
      <w:r w:rsidR="00785908">
        <w:t>reporting detail</w:t>
      </w:r>
      <w:r w:rsidR="00E26163">
        <w:t>,</w:t>
      </w:r>
      <w:r w:rsidR="00785908">
        <w:t xml:space="preserve"> but it is essential that authors ensure the focus of reports reflects the strategic responsibilities of the GB</w:t>
      </w:r>
      <w:r w:rsidR="00456792">
        <w:t xml:space="preserve"> – if the discussion is drifting into operational detail, </w:t>
      </w:r>
      <w:r w:rsidR="00F732A9">
        <w:t xml:space="preserve">it may be due to the influence of the report.  Equally, the Chair has an important </w:t>
      </w:r>
      <w:r w:rsidR="000F5D4A">
        <w:t>r</w:t>
      </w:r>
      <w:r w:rsidR="00F732A9">
        <w:t xml:space="preserve">ole in ensuring that the GB’s attention remains focussed on strategic objectives and outcomes and doesn’t become overly involved in the operational aspects.  Of course, it can be challenging to maintain an appropriate balance </w:t>
      </w:r>
      <w:proofErr w:type="gramStart"/>
      <w:r w:rsidR="00F732A9">
        <w:t>all of</w:t>
      </w:r>
      <w:proofErr w:type="gramEnd"/>
      <w:r w:rsidR="00F732A9">
        <w:t xml:space="preserve"> the time – some operational insight is essential – but drafting should be directed towards what the GB </w:t>
      </w:r>
      <w:r w:rsidR="00F732A9" w:rsidRPr="00F732A9">
        <w:rPr>
          <w:b/>
          <w:bCs/>
        </w:rPr>
        <w:t>needs</w:t>
      </w:r>
      <w:r w:rsidR="00F732A9">
        <w:t xml:space="preserve"> to know – non-essential information should be signposted for those who prefer to have a more comprehensive picture or additional background.  Identifying core and discretionary reading can be useful both to focus attention and ensure agenda packs are manageable.  The table below offers some watchpoints for principal advisers</w:t>
      </w:r>
      <w:r w:rsidR="00E16BFA">
        <w:t>/lead officers</w:t>
      </w:r>
      <w:r w:rsidR="00F732A9">
        <w:t xml:space="preserve"> and report authors</w:t>
      </w:r>
      <w:r w:rsidR="00E16BFA">
        <w:t xml:space="preserve"> to consider</w:t>
      </w:r>
      <w:r w:rsidR="00F732A9">
        <w:t>:</w:t>
      </w:r>
    </w:p>
    <w:tbl>
      <w:tblPr>
        <w:tblStyle w:val="TableGrid"/>
        <w:tblW w:w="0" w:type="auto"/>
        <w:tblLook w:val="04A0" w:firstRow="1" w:lastRow="0" w:firstColumn="1" w:lastColumn="0" w:noHBand="0" w:noVBand="1"/>
      </w:tblPr>
      <w:tblGrid>
        <w:gridCol w:w="9016"/>
      </w:tblGrid>
      <w:tr w:rsidR="00F732A9" w14:paraId="31441770" w14:textId="77777777" w:rsidTr="000417DE">
        <w:tc>
          <w:tcPr>
            <w:tcW w:w="9016" w:type="dxa"/>
            <w:shd w:val="clear" w:color="auto" w:fill="B4C6E7" w:themeFill="accent1" w:themeFillTint="66"/>
          </w:tcPr>
          <w:p w14:paraId="769445BB" w14:textId="42A06300" w:rsidR="00F732A9" w:rsidRPr="000417DE" w:rsidRDefault="00F732A9" w:rsidP="001151CD">
            <w:pPr>
              <w:pStyle w:val="Heading3"/>
              <w:rPr>
                <w:b/>
                <w:bCs/>
              </w:rPr>
            </w:pPr>
            <w:r w:rsidRPr="000417DE">
              <w:rPr>
                <w:b/>
                <w:bCs/>
                <w:color w:val="auto"/>
              </w:rPr>
              <w:lastRenderedPageBreak/>
              <w:t>Watchpoints for Report Authors</w:t>
            </w:r>
          </w:p>
        </w:tc>
      </w:tr>
      <w:tr w:rsidR="00F732A9" w14:paraId="749915C9" w14:textId="77777777" w:rsidTr="00F732A9">
        <w:tc>
          <w:tcPr>
            <w:tcW w:w="9016" w:type="dxa"/>
          </w:tcPr>
          <w:p w14:paraId="7220CD4D" w14:textId="77777777" w:rsidR="00F732A9" w:rsidRDefault="00F732A9" w:rsidP="001151CD">
            <w:pPr>
              <w:pStyle w:val="ListParagraph"/>
              <w:numPr>
                <w:ilvl w:val="0"/>
                <w:numId w:val="2"/>
              </w:numPr>
            </w:pPr>
            <w:r>
              <w:t>Test report drafting – is all the information essential / necessary and why?</w:t>
            </w:r>
          </w:p>
          <w:p w14:paraId="4987A9A0" w14:textId="13C942FE" w:rsidR="001151CD" w:rsidRDefault="001151CD" w:rsidP="001151CD">
            <w:pPr>
              <w:pStyle w:val="ListParagraph"/>
              <w:numPr>
                <w:ilvl w:val="0"/>
                <w:numId w:val="2"/>
              </w:numPr>
            </w:pPr>
            <w:r>
              <w:t>Is the report ‘stand-alone’ – can a GBM gain a complete picture of the issue, action / decision required; impact from the report, without extensive additional reading / research?</w:t>
            </w:r>
          </w:p>
          <w:p w14:paraId="4F25B5AD" w14:textId="7A0A3997" w:rsidR="001151CD" w:rsidRDefault="001151CD" w:rsidP="001151CD">
            <w:pPr>
              <w:pStyle w:val="ListParagraph"/>
              <w:numPr>
                <w:ilvl w:val="0"/>
                <w:numId w:val="2"/>
              </w:numPr>
            </w:pPr>
            <w:r>
              <w:t>Signpost additional information for those with a specific interest / eye for detail</w:t>
            </w:r>
          </w:p>
          <w:p w14:paraId="26A06829" w14:textId="208F891F" w:rsidR="001151CD" w:rsidRDefault="001151CD" w:rsidP="001151CD">
            <w:pPr>
              <w:pStyle w:val="ListParagraph"/>
              <w:numPr>
                <w:ilvl w:val="0"/>
                <w:numId w:val="2"/>
              </w:numPr>
            </w:pPr>
            <w:r>
              <w:t>Consider identifying core / essential reading, with discretionary reading available separately</w:t>
            </w:r>
          </w:p>
          <w:p w14:paraId="48993111" w14:textId="28DF9998" w:rsidR="001151CD" w:rsidRDefault="001151CD" w:rsidP="001151CD">
            <w:pPr>
              <w:pStyle w:val="ListParagraph"/>
              <w:numPr>
                <w:ilvl w:val="0"/>
                <w:numId w:val="2"/>
              </w:numPr>
            </w:pPr>
            <w:r>
              <w:t>Consider the most effective form for the topic – narrative, graphic</w:t>
            </w:r>
          </w:p>
          <w:p w14:paraId="1392ED50" w14:textId="1A76E46C" w:rsidR="001151CD" w:rsidRDefault="001151CD" w:rsidP="001151CD">
            <w:pPr>
              <w:pStyle w:val="ListParagraph"/>
              <w:numPr>
                <w:ilvl w:val="0"/>
                <w:numId w:val="2"/>
              </w:numPr>
            </w:pPr>
            <w:r>
              <w:t>Should any specialist / independent adviser be invited to the meeting and why?</w:t>
            </w:r>
          </w:p>
          <w:p w14:paraId="33E4913E" w14:textId="79BF5035" w:rsidR="001151CD" w:rsidRDefault="001151CD" w:rsidP="001151CD">
            <w:pPr>
              <w:pStyle w:val="ListParagraph"/>
              <w:numPr>
                <w:ilvl w:val="0"/>
                <w:numId w:val="2"/>
              </w:numPr>
            </w:pPr>
            <w:r>
              <w:t>Provide sufficient preparation time – all agenda items should have a written report in advance of the meeting</w:t>
            </w:r>
            <w:r w:rsidR="00BE1364">
              <w:t>, recognising that subsequent verbal updates may be provided at the meeting</w:t>
            </w:r>
          </w:p>
          <w:p w14:paraId="6B4A669C" w14:textId="7DE78C7C" w:rsidR="001151CD" w:rsidRDefault="001151CD" w:rsidP="001151CD">
            <w:pPr>
              <w:pStyle w:val="ListParagraph"/>
              <w:numPr>
                <w:ilvl w:val="0"/>
                <w:numId w:val="2"/>
              </w:numPr>
            </w:pPr>
            <w:r>
              <w:t xml:space="preserve">Avoid jargon and overly technical language </w:t>
            </w:r>
          </w:p>
          <w:p w14:paraId="05C50260" w14:textId="47C1452D" w:rsidR="001151CD" w:rsidRDefault="001151CD" w:rsidP="001151CD">
            <w:pPr>
              <w:pStyle w:val="ListParagraph"/>
              <w:numPr>
                <w:ilvl w:val="0"/>
                <w:numId w:val="2"/>
              </w:numPr>
            </w:pPr>
            <w:r>
              <w:t>Provide background / history if relevant</w:t>
            </w:r>
          </w:p>
          <w:p w14:paraId="1C43EAF2" w14:textId="45C8F5BA" w:rsidR="00F732A9" w:rsidRDefault="001151CD">
            <w:r>
              <w:t xml:space="preserve"> </w:t>
            </w:r>
          </w:p>
        </w:tc>
      </w:tr>
    </w:tbl>
    <w:p w14:paraId="2CA40059" w14:textId="77777777" w:rsidR="006353C8" w:rsidRDefault="006353C8" w:rsidP="006428A3"/>
    <w:p w14:paraId="02BBE133" w14:textId="1149C72A" w:rsidR="006A3BED" w:rsidRPr="00824FB5" w:rsidRDefault="006A3BED" w:rsidP="004D36F4">
      <w:pPr>
        <w:pStyle w:val="ListParagraph"/>
        <w:numPr>
          <w:ilvl w:val="0"/>
          <w:numId w:val="11"/>
        </w:numPr>
        <w:ind w:left="357" w:hanging="357"/>
        <w:rPr>
          <w:b/>
          <w:bCs/>
          <w:color w:val="2F5496" w:themeColor="accent1" w:themeShade="BF"/>
          <w:sz w:val="32"/>
          <w:szCs w:val="32"/>
        </w:rPr>
      </w:pPr>
      <w:r w:rsidRPr="00824FB5">
        <w:rPr>
          <w:b/>
          <w:bCs/>
          <w:color w:val="2F5496" w:themeColor="accent1" w:themeShade="BF"/>
          <w:sz w:val="32"/>
          <w:szCs w:val="32"/>
        </w:rPr>
        <w:t>Governance Calendar</w:t>
      </w:r>
    </w:p>
    <w:p w14:paraId="6A6E59EB" w14:textId="3BFD1C21" w:rsidR="005C29DC" w:rsidRDefault="005C29DC" w:rsidP="006428A3">
      <w:r>
        <w:t xml:space="preserve">Many RSLs have adopted an annual governance calendar that identifies </w:t>
      </w:r>
      <w:r w:rsidR="00FB5DFB">
        <w:t xml:space="preserve">meeting and </w:t>
      </w:r>
      <w:r>
        <w:t>key reporting date</w:t>
      </w:r>
      <w:r w:rsidR="006D2C3D">
        <w:t>s. T</w:t>
      </w:r>
      <w:r>
        <w:t>his is a useful technique to ensure:</w:t>
      </w:r>
    </w:p>
    <w:p w14:paraId="337E1590" w14:textId="5063854C" w:rsidR="00FB5DFB" w:rsidRDefault="00FB5DFB" w:rsidP="00FB5DFB">
      <w:pPr>
        <w:pStyle w:val="ListParagraph"/>
        <w:numPr>
          <w:ilvl w:val="0"/>
          <w:numId w:val="5"/>
        </w:numPr>
      </w:pPr>
      <w:r>
        <w:t>compliance with external reporting requirements (e.g. regulatory returns, covenant compliance, audit completion)</w:t>
      </w:r>
    </w:p>
    <w:p w14:paraId="430448E3" w14:textId="267C6D41" w:rsidR="006428A3" w:rsidRDefault="005C29DC" w:rsidP="00FB5DFB">
      <w:pPr>
        <w:pStyle w:val="ListParagraph"/>
        <w:numPr>
          <w:ilvl w:val="0"/>
          <w:numId w:val="5"/>
        </w:numPr>
      </w:pPr>
      <w:r>
        <w:t>effective communication / reporting between sub-committees and the GB</w:t>
      </w:r>
    </w:p>
    <w:p w14:paraId="3F5FD440" w14:textId="515B3D3F" w:rsidR="00FB5DFB" w:rsidRDefault="00FB5DFB" w:rsidP="00FB5DFB">
      <w:pPr>
        <w:pStyle w:val="ListParagraph"/>
        <w:numPr>
          <w:ilvl w:val="0"/>
          <w:numId w:val="5"/>
        </w:numPr>
      </w:pPr>
      <w:r>
        <w:t>timely reporting to support assurance (e.g. performance and service delivery; budget forecasts)</w:t>
      </w:r>
    </w:p>
    <w:p w14:paraId="01F7AC17" w14:textId="6EBACEA3" w:rsidR="00FB5DFB" w:rsidRDefault="00FB5DFB" w:rsidP="00FB5DFB">
      <w:pPr>
        <w:pStyle w:val="ListParagraph"/>
        <w:numPr>
          <w:ilvl w:val="0"/>
          <w:numId w:val="5"/>
        </w:numPr>
      </w:pPr>
      <w:r>
        <w:t>constitutional compliance (e.g. annual minimum meeting requirements; AGM timing; standing orders requirements)</w:t>
      </w:r>
    </w:p>
    <w:p w14:paraId="118ED498" w14:textId="01F60628" w:rsidR="006145BE" w:rsidRDefault="006145BE" w:rsidP="00FB5DFB">
      <w:pPr>
        <w:pStyle w:val="ListParagraph"/>
        <w:numPr>
          <w:ilvl w:val="0"/>
          <w:numId w:val="5"/>
        </w:numPr>
      </w:pPr>
      <w:r>
        <w:t xml:space="preserve">manageable agendas – avoiding a concentration of business at specific meetings (which risks compromising </w:t>
      </w:r>
      <w:r w:rsidR="00CB5226">
        <w:t>effective scrutiny and sound governance)</w:t>
      </w:r>
    </w:p>
    <w:p w14:paraId="5E7121E5" w14:textId="19FA484D" w:rsidR="00FB5DFB" w:rsidRDefault="00FB5DFB" w:rsidP="00FB5DFB">
      <w:pPr>
        <w:pStyle w:val="ListParagraph"/>
        <w:numPr>
          <w:ilvl w:val="0"/>
          <w:numId w:val="5"/>
        </w:numPr>
      </w:pPr>
      <w:r>
        <w:t>adequate resourcing (GBM attendance; officer support)</w:t>
      </w:r>
    </w:p>
    <w:p w14:paraId="11B3BC7C" w14:textId="29F5C694" w:rsidR="00FB5DFB" w:rsidRDefault="00FB5DFB" w:rsidP="00FB5DFB">
      <w:r>
        <w:t>It</w:t>
      </w:r>
      <w:r w:rsidR="006D2C3D">
        <w:t xml:space="preserve"> is</w:t>
      </w:r>
      <w:r>
        <w:t xml:space="preserve"> important to maintain flexibility e.g. to accommodate additional meetings if required or to support the establishment of working groups to progress a specific initiative or oversee the implementation of an improvement or action plan.  </w:t>
      </w:r>
      <w:r w:rsidR="006145BE">
        <w:t>T</w:t>
      </w:r>
      <w:r>
        <w:t xml:space="preserve">he following points </w:t>
      </w:r>
      <w:r w:rsidR="006145BE">
        <w:t xml:space="preserve">should be kept </w:t>
      </w:r>
      <w:r>
        <w:t>in mind</w:t>
      </w:r>
      <w:r w:rsidR="003A61A6">
        <w:t xml:space="preserve"> when developing an annual calendar</w:t>
      </w:r>
      <w:r w:rsidR="006145BE">
        <w:t>:</w:t>
      </w:r>
    </w:p>
    <w:p w14:paraId="77DD9C1E" w14:textId="650E1E7E" w:rsidR="00FB5DFB" w:rsidRDefault="00FB5DFB" w:rsidP="003A61A6">
      <w:pPr>
        <w:pStyle w:val="ListParagraph"/>
        <w:numPr>
          <w:ilvl w:val="0"/>
          <w:numId w:val="7"/>
        </w:numPr>
      </w:pPr>
      <w:r>
        <w:t>The GB must meet at least six times a year</w:t>
      </w:r>
      <w:r>
        <w:rPr>
          <w:rStyle w:val="FootnoteReference"/>
        </w:rPr>
        <w:footnoteReference w:id="14"/>
      </w:r>
      <w:r w:rsidR="009F708D">
        <w:t xml:space="preserve">; ensure that </w:t>
      </w:r>
      <w:proofErr w:type="gramStart"/>
      <w:r w:rsidR="009F708D">
        <w:t>a sufficient number of</w:t>
      </w:r>
      <w:proofErr w:type="gramEnd"/>
      <w:r w:rsidR="009F708D">
        <w:t xml:space="preserve"> meetings are scheduled to accommodate the anticipated business and provide clarity for GBMs about expectations and commitment required</w:t>
      </w:r>
    </w:p>
    <w:p w14:paraId="391AA2EB" w14:textId="613F5867" w:rsidR="00680964" w:rsidRDefault="00680964" w:rsidP="003A61A6">
      <w:pPr>
        <w:pStyle w:val="ListParagraph"/>
        <w:numPr>
          <w:ilvl w:val="0"/>
          <w:numId w:val="6"/>
        </w:numPr>
      </w:pPr>
      <w:r>
        <w:lastRenderedPageBreak/>
        <w:t>Seven days’ written notice of meetings must be given</w:t>
      </w:r>
      <w:r>
        <w:rPr>
          <w:rStyle w:val="FootnoteReference"/>
        </w:rPr>
        <w:footnoteReference w:id="15"/>
      </w:r>
      <w:r>
        <w:t xml:space="preserve">; if an </w:t>
      </w:r>
      <w:r w:rsidRPr="005F1571">
        <w:t>additional</w:t>
      </w:r>
      <w:r w:rsidR="00F927ED">
        <w:rPr>
          <w:rStyle w:val="FootnoteReference"/>
        </w:rPr>
        <w:footnoteReference w:id="16"/>
      </w:r>
      <w:r>
        <w:t xml:space="preserve"> meeting is called (i.e. not previously scheduled in the agreed calendar), the same notice must be provided</w:t>
      </w:r>
      <w:r>
        <w:rPr>
          <w:rStyle w:val="FootnoteReference"/>
        </w:rPr>
        <w:footnoteReference w:id="17"/>
      </w:r>
    </w:p>
    <w:p w14:paraId="2F17E8BB" w14:textId="77777777" w:rsidR="00753596" w:rsidRDefault="00753596" w:rsidP="00753596">
      <w:pPr>
        <w:pStyle w:val="ListParagraph"/>
        <w:numPr>
          <w:ilvl w:val="0"/>
          <w:numId w:val="6"/>
        </w:numPr>
      </w:pPr>
      <w:r>
        <w:t>The notice of the meeting should include the agenda of business to be conducted and supporting papers</w:t>
      </w:r>
    </w:p>
    <w:p w14:paraId="42AFC9B3" w14:textId="6DA8F88F" w:rsidR="003A61A6" w:rsidRDefault="003A61A6" w:rsidP="003A61A6">
      <w:pPr>
        <w:pStyle w:val="ListParagraph"/>
        <w:numPr>
          <w:ilvl w:val="0"/>
          <w:numId w:val="6"/>
        </w:numPr>
      </w:pPr>
      <w:r>
        <w:t xml:space="preserve">Audited accounts must be considered by the GB before being </w:t>
      </w:r>
      <w:r w:rsidR="0087277A">
        <w:t>recommended for approval</w:t>
      </w:r>
      <w:r>
        <w:t xml:space="preserve"> to shareholding members </w:t>
      </w:r>
      <w:r w:rsidR="0087277A">
        <w:t>at</w:t>
      </w:r>
      <w:r>
        <w:t xml:space="preserve"> the AGM</w:t>
      </w:r>
      <w:r w:rsidR="00F03F5C">
        <w:rPr>
          <w:rStyle w:val="FootnoteReference"/>
        </w:rPr>
        <w:footnoteReference w:id="18"/>
      </w:r>
    </w:p>
    <w:p w14:paraId="699DDDB6" w14:textId="03DDD0F1" w:rsidR="003A61A6" w:rsidRDefault="003A61A6" w:rsidP="003A61A6">
      <w:pPr>
        <w:pStyle w:val="ListParagraph"/>
        <w:numPr>
          <w:ilvl w:val="0"/>
          <w:numId w:val="6"/>
        </w:numPr>
      </w:pPr>
      <w:r>
        <w:t>The GB must approve the submission of statutory and regulatory returns in advance of the due date</w:t>
      </w:r>
      <w:r w:rsidR="00F03F5C">
        <w:rPr>
          <w:rStyle w:val="FootnoteReference"/>
        </w:rPr>
        <w:footnoteReference w:id="19"/>
      </w:r>
    </w:p>
    <w:p w14:paraId="0882BB42" w14:textId="1833F385" w:rsidR="003A61A6" w:rsidRDefault="003A61A6" w:rsidP="003A61A6">
      <w:pPr>
        <w:pStyle w:val="ListParagraph"/>
        <w:numPr>
          <w:ilvl w:val="0"/>
          <w:numId w:val="6"/>
        </w:numPr>
      </w:pPr>
      <w:r>
        <w:t xml:space="preserve">There </w:t>
      </w:r>
      <w:r w:rsidR="00F03F5C">
        <w:t>should</w:t>
      </w:r>
      <w:r>
        <w:t xml:space="preserve"> be sufficient time between sub-committee and GB meetings to enable the preparation of written reports to support any referred business that requires the GB’s consideration</w:t>
      </w:r>
    </w:p>
    <w:p w14:paraId="7D64DD53" w14:textId="5703E8D0" w:rsidR="003A61A6" w:rsidRDefault="003A61A6" w:rsidP="003A61A6">
      <w:pPr>
        <w:pStyle w:val="ListParagraph"/>
        <w:numPr>
          <w:ilvl w:val="0"/>
          <w:numId w:val="6"/>
        </w:numPr>
      </w:pPr>
      <w:r>
        <w:t>Performance reports should be available as close to the end of the reporting period as possible to support effective oversight (e.g. reporting management accounts towards the end of the subsequent quarter is unlikely to support effective oversight)</w:t>
      </w:r>
    </w:p>
    <w:p w14:paraId="4D0E9315" w14:textId="77777777" w:rsidR="001B0436" w:rsidRDefault="001B0436" w:rsidP="00753596"/>
    <w:p w14:paraId="7E193883" w14:textId="5E8D4EEA" w:rsidR="001B0436" w:rsidRPr="00824FB5" w:rsidRDefault="001B0436" w:rsidP="004D36F4">
      <w:pPr>
        <w:pStyle w:val="ListParagraph"/>
        <w:numPr>
          <w:ilvl w:val="0"/>
          <w:numId w:val="11"/>
        </w:numPr>
        <w:ind w:left="357" w:hanging="357"/>
        <w:rPr>
          <w:b/>
          <w:bCs/>
          <w:color w:val="2F5496" w:themeColor="accent1" w:themeShade="BF"/>
          <w:sz w:val="32"/>
          <w:szCs w:val="32"/>
        </w:rPr>
      </w:pPr>
      <w:r w:rsidRPr="00824FB5">
        <w:rPr>
          <w:b/>
          <w:bCs/>
          <w:color w:val="2F5496" w:themeColor="accent1" w:themeShade="BF"/>
          <w:sz w:val="32"/>
          <w:szCs w:val="32"/>
        </w:rPr>
        <w:t>The importance of the agenda</w:t>
      </w:r>
    </w:p>
    <w:p w14:paraId="262AF6C3" w14:textId="2899ED0E" w:rsidR="00753596" w:rsidRDefault="00753596" w:rsidP="00753596">
      <w:r>
        <w:t>Managing agendas to support effective governance is crucial.</w:t>
      </w:r>
      <w:r w:rsidR="00066A8E">
        <w:t xml:space="preserve">  Constitutional, regulatory and statutory reporting requirements set the basic framework, which must also accommodate the RSL’s business and contractual reporting requirements (e.g. performance oversight; covenant compliance; policy review).  Many RSLs identify these ‘static’ agenda items as part of their annual schedule / calendar; some adopt a thematic approach to GB (and sub-committee) agendas e.g. quarterly performance focus (financial; service delivery; risk); cyclical assurance; half-yearly strategic planning / review.</w:t>
      </w:r>
      <w:r w:rsidR="0079770D">
        <w:t xml:space="preserve">  Such an approach can help to shape the governance calendar and influence the development of agendas and meeting frequency.  </w:t>
      </w:r>
    </w:p>
    <w:p w14:paraId="39299F93" w14:textId="4126449A" w:rsidR="00763DBC" w:rsidRDefault="00763DBC" w:rsidP="00763DBC">
      <w:r>
        <w:t xml:space="preserve">Planning for meetings </w:t>
      </w:r>
      <w:r w:rsidR="00EC65BF">
        <w:t>should</w:t>
      </w:r>
      <w:r>
        <w:t xml:space="preserve"> allow adequate time for proper discussion and consideration of agenda items, according to their purpose: seeking approval for the submission of the ARC requires the GB to be satisfied that the data is accurate; subsequent consideration of identified performance weakness / deterioration will require different information and proposed solutions for discussion by the GB; consideration of e.g. a new or revised strategy or a novel energy efficiency initiative is likely to require more than one report and, probably, contributions from specialist advisers before the GB is equipped to make a decision.</w:t>
      </w:r>
    </w:p>
    <w:p w14:paraId="117CC11A" w14:textId="44476D18" w:rsidR="00763DBC" w:rsidRDefault="00763DBC" w:rsidP="00763DBC">
      <w:r>
        <w:lastRenderedPageBreak/>
        <w:t xml:space="preserve">GBMs need to have sufficient time to prepare for meetings: reading and thinking about reports, interpreting information, researching additional sources and reaching an informed view about exercising their governance responsibilities as required by the report’s purpose.  Consequently, this guidance discourages issuing papers close to </w:t>
      </w:r>
      <w:r w:rsidR="00B9171F">
        <w:t>a</w:t>
      </w:r>
      <w:r>
        <w:t xml:space="preserve"> meeting date</w:t>
      </w:r>
      <w:r w:rsidR="00B9171F">
        <w:t>.</w:t>
      </w:r>
      <w:r>
        <w:t xml:space="preserve"> </w:t>
      </w:r>
    </w:p>
    <w:p w14:paraId="2A754859" w14:textId="3B1DF139" w:rsidR="005F1571" w:rsidRDefault="005F1571" w:rsidP="00763DBC">
      <w:r>
        <w:t xml:space="preserve">Standing Orders should set out the circumstances in which additional business may (and may not) be considered, </w:t>
      </w:r>
      <w:r w:rsidR="003A61A6">
        <w:t xml:space="preserve">and minimum periods for the circulation of reports (e.g. </w:t>
      </w:r>
      <w:r w:rsidR="00753596">
        <w:t>“…</w:t>
      </w:r>
      <w:r w:rsidR="003A61A6">
        <w:t>if a report cannot be available for issue with the meeting pack, it must be circulated at least three days before the meeting</w:t>
      </w:r>
      <w:r w:rsidR="00753596">
        <w:t>”</w:t>
      </w:r>
      <w:r w:rsidR="003A61A6">
        <w:t>)</w:t>
      </w:r>
      <w:r w:rsidR="00763DBC">
        <w:t>.  Generally, adding items to the agenda at short notice (i.e. after the meeting pack has been issued) should be avoided, unless the matter is urgent</w:t>
      </w:r>
      <w:r w:rsidR="00B9171F">
        <w:t>.</w:t>
      </w:r>
      <w:r w:rsidR="00763DBC">
        <w:t xml:space="preserve"> </w:t>
      </w:r>
      <w:r w:rsidR="00B9171F">
        <w:t xml:space="preserve"> W</w:t>
      </w:r>
      <w:r w:rsidR="00763DBC">
        <w:t xml:space="preserve">ritten reports should always be </w:t>
      </w:r>
      <w:proofErr w:type="gramStart"/>
      <w:r w:rsidR="00763DBC">
        <w:t>provided</w:t>
      </w:r>
      <w:proofErr w:type="gramEnd"/>
      <w:r w:rsidR="00EC28F4">
        <w:t xml:space="preserve"> </w:t>
      </w:r>
      <w:proofErr w:type="gramStart"/>
      <w:r w:rsidR="00EC28F4">
        <w:t>and</w:t>
      </w:r>
      <w:r w:rsidR="00763DBC">
        <w:t xml:space="preserve">  tabling</w:t>
      </w:r>
      <w:proofErr w:type="gramEnd"/>
      <w:r w:rsidR="00763DBC">
        <w:t xml:space="preserve"> papers should not be permitted unless the circumstances are exceptional.</w:t>
      </w:r>
    </w:p>
    <w:p w14:paraId="515E6CA0" w14:textId="6DC2443E" w:rsidR="00240CE3" w:rsidRDefault="00240CE3" w:rsidP="00763DBC">
      <w:r>
        <w:t xml:space="preserve">Agendas </w:t>
      </w:r>
      <w:r w:rsidR="00EC65BF">
        <w:t xml:space="preserve">and the business to be considered </w:t>
      </w:r>
      <w:r>
        <w:t>should always be discussed and agreed between the PA and the Chair, in advance of the meeting</w:t>
      </w:r>
      <w:r w:rsidR="00EC65BF">
        <w:t>: for some RSLs, this will be before the</w:t>
      </w:r>
      <w:r>
        <w:t xml:space="preserve"> pack </w:t>
      </w:r>
      <w:r w:rsidR="00EC65BF">
        <w:t>is</w:t>
      </w:r>
      <w:r>
        <w:t xml:space="preserve"> produced</w:t>
      </w:r>
      <w:r w:rsidR="00EC65BF">
        <w:t>; for others, it will be between the pack’s issue and the meeting</w:t>
      </w:r>
      <w:r>
        <w:t xml:space="preserve">.  There should be a pre-meeting </w:t>
      </w:r>
      <w:r w:rsidR="00EC65BF">
        <w:t xml:space="preserve">(or alternative form of engagement) </w:t>
      </w:r>
      <w:r>
        <w:t>between the PA and Chair to ensure that the Chair is familiar with the matters to be discussed, the purpose of each report and the outcomes that are being sought: this will help the Chair to guide the agenda and manage the business effectively, within an acceptable timescale.  Th</w:t>
      </w:r>
      <w:r w:rsidR="00EC65BF">
        <w:t xml:space="preserve">is engagement </w:t>
      </w:r>
      <w:r>
        <w:t xml:space="preserve">is also an opportunity for discussion about any specific aspects of a report that are likely to be </w:t>
      </w:r>
      <w:r w:rsidR="00E24F8D">
        <w:t xml:space="preserve">e.g. sensitive or </w:t>
      </w:r>
      <w:r>
        <w:t>contentious</w:t>
      </w:r>
      <w:r w:rsidR="00E24F8D">
        <w:t xml:space="preserve">, carry significant </w:t>
      </w:r>
      <w:r>
        <w:t>risk</w:t>
      </w:r>
      <w:r w:rsidR="00E24F8D">
        <w:t xml:space="preserve">, involve substantial financial considerations.  It’s important to emphasise that the purpose of such </w:t>
      </w:r>
      <w:r w:rsidR="00EC65BF">
        <w:t xml:space="preserve">discussions </w:t>
      </w:r>
      <w:r w:rsidR="00E24F8D">
        <w:t xml:space="preserve">is to support and advise the Chair and not to pre-empt or compromise the GB’s role or authority. </w:t>
      </w:r>
    </w:p>
    <w:p w14:paraId="4DD2E0EE" w14:textId="4409D96F" w:rsidR="00B9171F" w:rsidRDefault="00B9171F" w:rsidP="00763DBC">
      <w:r>
        <w:t xml:space="preserve">Many GBMs find it helpful to be able to ask questions in advance of meetings, following receipt of the meeting pack.  </w:t>
      </w:r>
      <w:r w:rsidR="009A6CAB">
        <w:t>T</w:t>
      </w:r>
      <w:r>
        <w:t xml:space="preserve">hese </w:t>
      </w:r>
      <w:r w:rsidR="009A6CAB">
        <w:t xml:space="preserve">should be </w:t>
      </w:r>
      <w:r>
        <w:t>questions of clarification, points of detail, requests for explanation of technical matters or background information.  Providing the name and contact details of each report’s author supports this approach.  Increasingly RSLs are moving to a digital governance model, using either bespoke/sector specific governance platforms or adapting ‘commercial’ sharing/collaboration platforms to promote engagement</w:t>
      </w:r>
      <w:r w:rsidR="00240CE3">
        <w:t xml:space="preserve"> by enabling everyone to see the questions/comments and the responses.  If this facility is not available (or available only to some GBMs, it is </w:t>
      </w:r>
      <w:r w:rsidR="009A6CAB">
        <w:t xml:space="preserve">important </w:t>
      </w:r>
      <w:r w:rsidR="00240CE3">
        <w:t>that a summary of the comments and responses is provided to everyone at the meeting to ensure inclusive governance practice.</w:t>
      </w:r>
    </w:p>
    <w:p w14:paraId="166CF6DF" w14:textId="48904059" w:rsidR="006428A3" w:rsidRDefault="00E24F8D" w:rsidP="006428A3">
      <w:r>
        <w:t>Standing Orders set the maximum time for meetings –</w:t>
      </w:r>
      <w:r w:rsidR="00A854E6">
        <w:t xml:space="preserve">often </w:t>
      </w:r>
      <w:r>
        <w:t>in the region of two or two and a half hours, with the possibility of extension</w:t>
      </w:r>
      <w:r w:rsidR="00A854E6">
        <w:t>, usually</w:t>
      </w:r>
      <w:r>
        <w:t xml:space="preserve"> for not more than thirty minutes</w:t>
      </w:r>
      <w:r w:rsidR="00A854E6">
        <w:rPr>
          <w:rStyle w:val="FootnoteReference"/>
        </w:rPr>
        <w:footnoteReference w:id="20"/>
      </w:r>
      <w:r>
        <w:t xml:space="preserve">.  If the stated business cannot be concluded within the permitted time, the meeting either </w:t>
      </w:r>
      <w:proofErr w:type="gramStart"/>
      <w:r>
        <w:t>has to</w:t>
      </w:r>
      <w:proofErr w:type="gramEnd"/>
      <w:r>
        <w:t xml:space="preserve"> be </w:t>
      </w:r>
      <w:proofErr w:type="gramStart"/>
      <w:r>
        <w:t>adjourned</w:t>
      </w:r>
      <w:proofErr w:type="gramEnd"/>
      <w:r>
        <w:t xml:space="preserve"> or the outstanding business deferred until the next meeting – depending on what is agreed by the GB.  It is essential, therefore, that agenda planning takes account of the time constraints and that the volume of </w:t>
      </w:r>
      <w:r>
        <w:lastRenderedPageBreak/>
        <w:t>business and the purpose of each report is considered before the agenda is finalised.</w:t>
      </w:r>
    </w:p>
    <w:p w14:paraId="12AB57DF" w14:textId="41529BFF" w:rsidR="00E24F8D" w:rsidRDefault="00E24F8D" w:rsidP="006428A3">
      <w:r>
        <w:t>As part of their agenda planning, some RSLs allocate time to each business item</w:t>
      </w:r>
      <w:r w:rsidR="008D444D">
        <w:t>, which can help to guide both the Chair and GBMs during the meeting.  To be successful, the time allocations must be realistic</w:t>
      </w:r>
      <w:r w:rsidR="008D7D71">
        <w:t xml:space="preserve">. </w:t>
      </w:r>
      <w:r w:rsidR="008D444D">
        <w:t>If it becomes clear that the agenda cannot be accommodated within the permitted time (without extension), there needs to be agreement between the</w:t>
      </w:r>
      <w:r w:rsidR="008D7D71">
        <w:t xml:space="preserve"> principal adviser / lead officer</w:t>
      </w:r>
      <w:r w:rsidR="008D444D">
        <w:t xml:space="preserve"> and Chair about the items that will be considered </w:t>
      </w:r>
      <w:proofErr w:type="gramStart"/>
      <w:r w:rsidR="008D444D">
        <w:t>at a later date</w:t>
      </w:r>
      <w:proofErr w:type="gramEnd"/>
      <w:r w:rsidR="008D444D">
        <w:t xml:space="preserve"> or dealt with differently.</w:t>
      </w:r>
    </w:p>
    <w:p w14:paraId="31D7B260" w14:textId="77D833D3" w:rsidR="00D355CA" w:rsidRDefault="00D355CA" w:rsidP="006428A3">
      <w:r>
        <w:t xml:space="preserve">Many RSLs find it helpful to construct agendas according to the relative priority of the business: </w:t>
      </w:r>
      <w:r w:rsidR="00046FD0">
        <w:t xml:space="preserve">some programme </w:t>
      </w:r>
      <w:r>
        <w:t>items for discussion / consideration at the beginning, followed by items for approval</w:t>
      </w:r>
      <w:r w:rsidR="00C90CC4">
        <w:t>.</w:t>
      </w:r>
      <w:r w:rsidR="00046FD0">
        <w:t xml:space="preserve"> </w:t>
      </w:r>
      <w:r>
        <w:t xml:space="preserve">This can help to ensure that the focus is on those matters that require the greatest input from GBMs, when they are fresh.  Consideration of items at the end of a long meeting </w:t>
      </w:r>
      <w:r w:rsidR="00F168C7">
        <w:t>can</w:t>
      </w:r>
      <w:r>
        <w:t xml:space="preserve"> </w:t>
      </w:r>
      <w:r w:rsidR="00EF0F63">
        <w:t xml:space="preserve">be </w:t>
      </w:r>
      <w:r>
        <w:t>compromised by people being tired</w:t>
      </w:r>
      <w:r w:rsidR="00F168C7">
        <w:t xml:space="preserve"> and/or some having left.</w:t>
      </w:r>
      <w:r w:rsidR="00C90CC4" w:rsidRPr="00C90CC4">
        <w:t xml:space="preserve"> </w:t>
      </w:r>
      <w:r w:rsidR="00EF0F63">
        <w:t xml:space="preserve"> </w:t>
      </w:r>
      <w:r w:rsidR="00C90CC4">
        <w:t>Of course,</w:t>
      </w:r>
      <w:r w:rsidR="00EF0F63">
        <w:t xml:space="preserve"> </w:t>
      </w:r>
      <w:r w:rsidR="00C90CC4">
        <w:t xml:space="preserve">what’s important is adopting a format that suits the individual RSL’s needs and preferences.  </w:t>
      </w:r>
    </w:p>
    <w:p w14:paraId="1C2D2420" w14:textId="4F1797FE" w:rsidR="00A24535" w:rsidRDefault="00922D6A" w:rsidP="00767202">
      <w:r>
        <w:t>Some Principal Advisers</w:t>
      </w:r>
      <w:r w:rsidR="00EF0F63">
        <w:t>/Lead Officers</w:t>
      </w:r>
      <w:r>
        <w:t xml:space="preserve"> support their Chairs by producing an annotated agenda in advance of each meeting, either to support their pre-meeting or subsequently.  This provides notes alongside each item to highlight the report’s purpose, intended outcome(s), flag any potential risks/complications/ known obstacles/ contrary opinions/alternative proposals.  Notes may also be included to remind the Chair about any specific contributions that individual GBMs want to make</w:t>
      </w:r>
      <w:r w:rsidR="00A34DBF">
        <w:t>,</w:t>
      </w:r>
      <w:r>
        <w:t xml:space="preserve"> to ensure their views are heard.</w:t>
      </w:r>
    </w:p>
    <w:p w14:paraId="1B0F2436" w14:textId="77777777" w:rsidR="003D56A6" w:rsidRDefault="003D56A6" w:rsidP="00767202"/>
    <w:p w14:paraId="6C50F7A4" w14:textId="3BCDD075" w:rsidR="00767202" w:rsidRPr="00824FB5" w:rsidRDefault="00E225EC" w:rsidP="00A24535">
      <w:pPr>
        <w:pStyle w:val="ListParagraph"/>
        <w:numPr>
          <w:ilvl w:val="0"/>
          <w:numId w:val="11"/>
        </w:numPr>
        <w:ind w:left="357" w:hanging="357"/>
        <w:rPr>
          <w:b/>
          <w:bCs/>
          <w:color w:val="2F5496" w:themeColor="accent1" w:themeShade="BF"/>
          <w:sz w:val="32"/>
          <w:szCs w:val="32"/>
        </w:rPr>
      </w:pPr>
      <w:r w:rsidRPr="00824FB5">
        <w:rPr>
          <w:b/>
          <w:bCs/>
          <w:color w:val="2F5496" w:themeColor="accent1" w:themeShade="BF"/>
          <w:sz w:val="32"/>
          <w:szCs w:val="32"/>
        </w:rPr>
        <w:t>Final thoughts on</w:t>
      </w:r>
      <w:r w:rsidR="00767202" w:rsidRPr="00824FB5">
        <w:rPr>
          <w:b/>
          <w:bCs/>
          <w:color w:val="2F5496" w:themeColor="accent1" w:themeShade="BF"/>
          <w:sz w:val="32"/>
          <w:szCs w:val="32"/>
        </w:rPr>
        <w:t xml:space="preserve"> reporting to the GB</w:t>
      </w:r>
    </w:p>
    <w:p w14:paraId="79393CCB" w14:textId="58C64117" w:rsidR="00767202" w:rsidRDefault="00767202" w:rsidP="00767202">
      <w:r>
        <w:t>RSL governance is a complex business: the demands on GBMs are significant and can be onerous.  It’s imperative that officers support GBMs in their role: the quality and style of reporting are key factors in how effective that support is.  The role of the Principal Adviser</w:t>
      </w:r>
      <w:r w:rsidR="00EF0F63">
        <w:t xml:space="preserve"> / Lead Officer</w:t>
      </w:r>
      <w:r>
        <w:t xml:space="preserve">, in consultation with the Chair, is critical to ensure that the volume of business at each meeting is manageable: it’s not just the number of items on the agenda that have to be considered, but also the complexity of individual items and the range of essential information that has to be considered to support informed decision making.  Including essential appendices with one or two reports may be manageable, but if multiple reports have similar additions, the volume of the overall meeting pack is likely to be challenging for GBMs and risks compromising governance effectiveness. </w:t>
      </w:r>
    </w:p>
    <w:p w14:paraId="23DE3F71" w14:textId="42E07132" w:rsidR="00767202" w:rsidRDefault="00767202" w:rsidP="00767202">
      <w:r>
        <w:t xml:space="preserve">Aiming to limit reports to </w:t>
      </w:r>
      <w:r w:rsidR="00EF0F63">
        <w:t xml:space="preserve">a specific </w:t>
      </w:r>
      <w:proofErr w:type="gramStart"/>
      <w:r w:rsidR="00EF0F63">
        <w:t>number</w:t>
      </w:r>
      <w:proofErr w:type="gramEnd"/>
      <w:r w:rsidR="00EF0F63">
        <w:t xml:space="preserve"> </w:t>
      </w:r>
      <w:r>
        <w:t xml:space="preserve">pages may be desirable but, if they are then supplemented by multiple appendices, it is likely that the report’s focus, purpose and recommendations will be overshadowed by discussions that range across all the information provided.  Technical reports that are provided as appendices are unlikely to be either accessible or useful to the majority of GBMs – officers should analyse and communicate the implications and conclusions of technical advice </w:t>
      </w:r>
      <w:r w:rsidR="00D85A68">
        <w:t xml:space="preserve">clearly </w:t>
      </w:r>
      <w:r>
        <w:t xml:space="preserve">via the report or a short summary.  Of course, it can be useful to make such reports </w:t>
      </w:r>
      <w:r>
        <w:lastRenderedPageBreak/>
        <w:t>accessible for those with a special interest or expertise – and it is important for the GB to know that such advice has been obtained and taken account of.</w:t>
      </w:r>
    </w:p>
    <w:p w14:paraId="2034AA18" w14:textId="3B2C9A1A" w:rsidR="00767202" w:rsidRDefault="00767202" w:rsidP="00767202">
      <w:r>
        <w:t>Many RSLs provide an Executive Summary in each report: these should generally be short, highlighting the recommendations, intended outcomes and significant impacts/risks.  Executive summaries should act as a ‘can opener’ to the report, neither an alternative to reading the report itself nor a signpost to additional information that is not core to the recommendations.</w:t>
      </w:r>
    </w:p>
    <w:p w14:paraId="1F6E1E9B" w14:textId="4505E8F8" w:rsidR="00767202" w:rsidRDefault="00767202" w:rsidP="00767202">
      <w:r>
        <w:t>Of course, the structure of the reports and their presentation influence their effectiveness significantly</w:t>
      </w:r>
      <w:r w:rsidR="005450BA">
        <w:t xml:space="preserve"> and will vary across the sector</w:t>
      </w:r>
      <w:r>
        <w:t xml:space="preserve">.  Some points to consider are summarised in the table below.  </w:t>
      </w:r>
    </w:p>
    <w:tbl>
      <w:tblPr>
        <w:tblStyle w:val="TableGrid"/>
        <w:tblW w:w="0" w:type="auto"/>
        <w:tblLook w:val="04A0" w:firstRow="1" w:lastRow="0" w:firstColumn="1" w:lastColumn="0" w:noHBand="0" w:noVBand="1"/>
      </w:tblPr>
      <w:tblGrid>
        <w:gridCol w:w="4508"/>
        <w:gridCol w:w="4508"/>
      </w:tblGrid>
      <w:tr w:rsidR="00767202" w14:paraId="4BE92EFB" w14:textId="77777777" w:rsidTr="003E2F76">
        <w:trPr>
          <w:tblHeader/>
        </w:trPr>
        <w:tc>
          <w:tcPr>
            <w:tcW w:w="4508" w:type="dxa"/>
            <w:shd w:val="clear" w:color="auto" w:fill="B4C6E7" w:themeFill="accent1" w:themeFillTint="66"/>
          </w:tcPr>
          <w:p w14:paraId="5E98E983" w14:textId="77777777" w:rsidR="00767202" w:rsidRPr="000417DE" w:rsidRDefault="00767202" w:rsidP="00F9341B">
            <w:pPr>
              <w:pStyle w:val="Heading3"/>
              <w:rPr>
                <w:b/>
                <w:bCs/>
                <w:color w:val="auto"/>
              </w:rPr>
            </w:pPr>
            <w:r w:rsidRPr="000417DE">
              <w:rPr>
                <w:b/>
                <w:bCs/>
                <w:color w:val="auto"/>
              </w:rPr>
              <w:t>Aim to…</w:t>
            </w:r>
          </w:p>
        </w:tc>
        <w:tc>
          <w:tcPr>
            <w:tcW w:w="4508" w:type="dxa"/>
            <w:shd w:val="clear" w:color="auto" w:fill="B4C6E7" w:themeFill="accent1" w:themeFillTint="66"/>
          </w:tcPr>
          <w:p w14:paraId="2B433230" w14:textId="77777777" w:rsidR="00767202" w:rsidRPr="000417DE" w:rsidRDefault="00767202" w:rsidP="00F9341B">
            <w:pPr>
              <w:pStyle w:val="Heading3"/>
              <w:rPr>
                <w:b/>
                <w:bCs/>
                <w:color w:val="auto"/>
              </w:rPr>
            </w:pPr>
            <w:r w:rsidRPr="000417DE">
              <w:rPr>
                <w:b/>
                <w:bCs/>
                <w:color w:val="auto"/>
              </w:rPr>
              <w:t>Aim to avoid…</w:t>
            </w:r>
          </w:p>
        </w:tc>
      </w:tr>
      <w:tr w:rsidR="00767202" w14:paraId="35C1B3AB" w14:textId="77777777" w:rsidTr="00F9341B">
        <w:tc>
          <w:tcPr>
            <w:tcW w:w="4508" w:type="dxa"/>
          </w:tcPr>
          <w:p w14:paraId="4BBC4154" w14:textId="77777777" w:rsidR="00767202" w:rsidRDefault="00767202" w:rsidP="00F9341B">
            <w:r>
              <w:t>Ensure the purpose of the report is explicit</w:t>
            </w:r>
          </w:p>
        </w:tc>
        <w:tc>
          <w:tcPr>
            <w:tcW w:w="4508" w:type="dxa"/>
          </w:tcPr>
          <w:p w14:paraId="10230DCF" w14:textId="77777777" w:rsidR="00767202" w:rsidRDefault="00767202" w:rsidP="00F9341B">
            <w:r>
              <w:t>Uncertainty about what is expected from the GB or why the report is being considered</w:t>
            </w:r>
          </w:p>
          <w:p w14:paraId="2BD56CF5" w14:textId="77777777" w:rsidR="00767202" w:rsidRDefault="00767202" w:rsidP="00F9341B"/>
        </w:tc>
      </w:tr>
      <w:tr w:rsidR="00767202" w14:paraId="10DCC710" w14:textId="77777777" w:rsidTr="00F9341B">
        <w:tc>
          <w:tcPr>
            <w:tcW w:w="4508" w:type="dxa"/>
          </w:tcPr>
          <w:p w14:paraId="63167798" w14:textId="77777777" w:rsidR="00767202" w:rsidRDefault="00767202" w:rsidP="00F9341B">
            <w:r>
              <w:t>Focus the report and discussion on the key points and decision(s) / outcome(s) required</w:t>
            </w:r>
          </w:p>
        </w:tc>
        <w:tc>
          <w:tcPr>
            <w:tcW w:w="4508" w:type="dxa"/>
          </w:tcPr>
          <w:p w14:paraId="6FF6DF34" w14:textId="77777777" w:rsidR="00767202" w:rsidRDefault="00767202" w:rsidP="00F9341B">
            <w:r>
              <w:t>Drifting away from the focus / substance of the topic / report; failing to reach a conclusion</w:t>
            </w:r>
          </w:p>
          <w:p w14:paraId="6CDDB7B0" w14:textId="77777777" w:rsidR="00767202" w:rsidRDefault="00767202" w:rsidP="00F9341B"/>
        </w:tc>
      </w:tr>
      <w:tr w:rsidR="00767202" w14:paraId="2A3997DE" w14:textId="77777777" w:rsidTr="00F9341B">
        <w:tc>
          <w:tcPr>
            <w:tcW w:w="4508" w:type="dxa"/>
          </w:tcPr>
          <w:p w14:paraId="00CD687D" w14:textId="77777777" w:rsidR="00767202" w:rsidRDefault="00767202" w:rsidP="00F9341B">
            <w:r>
              <w:t>Prioritise business according to reports’ purpose / significance</w:t>
            </w:r>
          </w:p>
        </w:tc>
        <w:tc>
          <w:tcPr>
            <w:tcW w:w="4508" w:type="dxa"/>
          </w:tcPr>
          <w:p w14:paraId="632E3550" w14:textId="77777777" w:rsidR="00767202" w:rsidRDefault="00767202" w:rsidP="00F9341B">
            <w:r>
              <w:t xml:space="preserve">Running out of time for key discussions; having to rush significant decisions; being unable to achieve consensus / agreement </w:t>
            </w:r>
          </w:p>
          <w:p w14:paraId="7EC016DA" w14:textId="77777777" w:rsidR="00767202" w:rsidRDefault="00767202" w:rsidP="00F9341B"/>
        </w:tc>
      </w:tr>
      <w:tr w:rsidR="00767202" w14:paraId="309718D5" w14:textId="77777777" w:rsidTr="00F9341B">
        <w:tc>
          <w:tcPr>
            <w:tcW w:w="4508" w:type="dxa"/>
          </w:tcPr>
          <w:p w14:paraId="7E83DE0F" w14:textId="77777777" w:rsidR="00767202" w:rsidRDefault="00767202" w:rsidP="00F9341B">
            <w:r>
              <w:t xml:space="preserve">Highlight the key issues and all clarifications provided at the start of the item; assume the reports have been read </w:t>
            </w:r>
          </w:p>
          <w:p w14:paraId="23EAF16B" w14:textId="77777777" w:rsidR="00767202" w:rsidRDefault="00767202" w:rsidP="00F9341B"/>
        </w:tc>
        <w:tc>
          <w:tcPr>
            <w:tcW w:w="4508" w:type="dxa"/>
          </w:tcPr>
          <w:p w14:paraId="073C550A" w14:textId="77777777" w:rsidR="00767202" w:rsidRDefault="00767202" w:rsidP="00F9341B">
            <w:r>
              <w:t>Repeating the content of the report when introducing / presenting the item</w:t>
            </w:r>
          </w:p>
        </w:tc>
      </w:tr>
      <w:tr w:rsidR="00767202" w14:paraId="67D7FDCD" w14:textId="77777777" w:rsidTr="00F9341B">
        <w:tc>
          <w:tcPr>
            <w:tcW w:w="4508" w:type="dxa"/>
          </w:tcPr>
          <w:p w14:paraId="2FA05FB3" w14:textId="77777777" w:rsidR="00767202" w:rsidRDefault="00767202" w:rsidP="00F9341B">
            <w:r>
              <w:t>Ensure that reports are comprehensive and succinct; keep additional information to a minimum</w:t>
            </w:r>
          </w:p>
          <w:p w14:paraId="368411F9" w14:textId="77777777" w:rsidR="00767202" w:rsidRDefault="00767202" w:rsidP="00F9341B"/>
        </w:tc>
        <w:tc>
          <w:tcPr>
            <w:tcW w:w="4508" w:type="dxa"/>
          </w:tcPr>
          <w:p w14:paraId="03B23CED" w14:textId="77777777" w:rsidR="00767202" w:rsidRDefault="00767202" w:rsidP="00F9341B">
            <w:r>
              <w:t>Excessive meeting packs that GBMs find daunting and/or unmanageable</w:t>
            </w:r>
          </w:p>
        </w:tc>
      </w:tr>
      <w:tr w:rsidR="00767202" w14:paraId="569E974C" w14:textId="77777777" w:rsidTr="00F9341B">
        <w:tc>
          <w:tcPr>
            <w:tcW w:w="4508" w:type="dxa"/>
          </w:tcPr>
          <w:p w14:paraId="64309A08" w14:textId="77777777" w:rsidR="00767202" w:rsidRDefault="00767202" w:rsidP="00F9341B">
            <w:r>
              <w:t>Implement delegated authority effectively</w:t>
            </w:r>
          </w:p>
        </w:tc>
        <w:tc>
          <w:tcPr>
            <w:tcW w:w="4508" w:type="dxa"/>
          </w:tcPr>
          <w:p w14:paraId="379208B6" w14:textId="77777777" w:rsidR="00767202" w:rsidRDefault="00767202" w:rsidP="00F9341B">
            <w:r>
              <w:t>Referring matters to the GB / seeking approval where issue is operational and / or authority delegated to officers</w:t>
            </w:r>
          </w:p>
          <w:p w14:paraId="786505DB" w14:textId="77777777" w:rsidR="00767202" w:rsidRDefault="00767202" w:rsidP="00F9341B"/>
        </w:tc>
      </w:tr>
      <w:tr w:rsidR="00767202" w14:paraId="3DAB8DD9" w14:textId="77777777" w:rsidTr="00F9341B">
        <w:tc>
          <w:tcPr>
            <w:tcW w:w="4508" w:type="dxa"/>
          </w:tcPr>
          <w:p w14:paraId="1D1F1873" w14:textId="77777777" w:rsidR="00767202" w:rsidRDefault="00767202" w:rsidP="00F9341B">
            <w:r>
              <w:t>Make information items available separately from meeting packs e.g. via portal or digital library / archive</w:t>
            </w:r>
          </w:p>
          <w:p w14:paraId="4CF9C573" w14:textId="77777777" w:rsidR="00767202" w:rsidRDefault="00767202" w:rsidP="00F9341B"/>
        </w:tc>
        <w:tc>
          <w:tcPr>
            <w:tcW w:w="4508" w:type="dxa"/>
          </w:tcPr>
          <w:p w14:paraId="2518A62B" w14:textId="77777777" w:rsidR="00767202" w:rsidRDefault="00767202" w:rsidP="00F9341B">
            <w:r>
              <w:t>Eroding time available for substantive discussions</w:t>
            </w:r>
          </w:p>
        </w:tc>
      </w:tr>
    </w:tbl>
    <w:p w14:paraId="77E3CE33" w14:textId="77777777" w:rsidR="00A24535" w:rsidRDefault="00A24535">
      <w:pPr>
        <w:rPr>
          <w:b/>
          <w:bCs/>
          <w:sz w:val="28"/>
          <w:szCs w:val="28"/>
        </w:rPr>
      </w:pPr>
    </w:p>
    <w:p w14:paraId="3AD1770A" w14:textId="77777777" w:rsidR="005E7642" w:rsidRDefault="005E7642">
      <w:pPr>
        <w:rPr>
          <w:b/>
          <w:bCs/>
          <w:sz w:val="28"/>
          <w:szCs w:val="28"/>
        </w:rPr>
      </w:pPr>
    </w:p>
    <w:p w14:paraId="2BFF6197" w14:textId="77777777" w:rsidR="005E7642" w:rsidRDefault="005E7642">
      <w:pPr>
        <w:rPr>
          <w:b/>
          <w:bCs/>
          <w:sz w:val="28"/>
          <w:szCs w:val="28"/>
        </w:rPr>
      </w:pPr>
    </w:p>
    <w:p w14:paraId="29087133" w14:textId="74933815" w:rsidR="009D0970" w:rsidRPr="00824FB5" w:rsidRDefault="004F201E" w:rsidP="00A24535">
      <w:pPr>
        <w:pStyle w:val="ListParagraph"/>
        <w:numPr>
          <w:ilvl w:val="0"/>
          <w:numId w:val="11"/>
        </w:numPr>
        <w:ind w:left="357" w:hanging="357"/>
        <w:rPr>
          <w:b/>
          <w:bCs/>
          <w:color w:val="2F5496" w:themeColor="accent1" w:themeShade="BF"/>
          <w:sz w:val="32"/>
          <w:szCs w:val="32"/>
        </w:rPr>
      </w:pPr>
      <w:r w:rsidRPr="00824FB5">
        <w:rPr>
          <w:b/>
          <w:bCs/>
          <w:color w:val="2F5496" w:themeColor="accent1" w:themeShade="BF"/>
          <w:sz w:val="32"/>
          <w:szCs w:val="32"/>
        </w:rPr>
        <w:lastRenderedPageBreak/>
        <w:t>Further reading</w:t>
      </w:r>
    </w:p>
    <w:p w14:paraId="143ADDD6" w14:textId="77777777" w:rsidR="008342DB" w:rsidRDefault="008342DB">
      <w:r>
        <w:t>The following additional guidance from SFHA may be helpful when considering this document:</w:t>
      </w:r>
    </w:p>
    <w:p w14:paraId="6FFEA1DE" w14:textId="231B35E6" w:rsidR="004F201E" w:rsidRDefault="004F201E" w:rsidP="008342DB">
      <w:pPr>
        <w:pStyle w:val="ListParagraph"/>
        <w:numPr>
          <w:ilvl w:val="0"/>
          <w:numId w:val="12"/>
        </w:numPr>
      </w:pPr>
      <w:hyperlink r:id="rId17" w:history="1">
        <w:r w:rsidRPr="007B0C94">
          <w:rPr>
            <w:rStyle w:val="Hyperlink"/>
          </w:rPr>
          <w:t>Getting the balance right</w:t>
        </w:r>
        <w:r w:rsidR="003E2F76" w:rsidRPr="007B0C94">
          <w:rPr>
            <w:rStyle w:val="Hyperlink"/>
          </w:rPr>
          <w:t xml:space="preserve"> – operational and strategic responsibility</w:t>
        </w:r>
      </w:hyperlink>
      <w:r w:rsidR="003E2F76">
        <w:t xml:space="preserve"> (</w:t>
      </w:r>
      <w:r w:rsidR="007B0C94">
        <w:t>April 2023)</w:t>
      </w:r>
    </w:p>
    <w:p w14:paraId="7BDB15D9" w14:textId="567901C3" w:rsidR="004F201E" w:rsidRDefault="005F2766" w:rsidP="008342DB">
      <w:pPr>
        <w:pStyle w:val="ListParagraph"/>
        <w:numPr>
          <w:ilvl w:val="0"/>
          <w:numId w:val="12"/>
        </w:numPr>
      </w:pPr>
      <w:hyperlink r:id="rId18" w:history="1">
        <w:r w:rsidRPr="005F2766">
          <w:rPr>
            <w:rStyle w:val="Hyperlink"/>
          </w:rPr>
          <w:t>Points to consider when drafting s</w:t>
        </w:r>
        <w:r w:rsidR="004F201E" w:rsidRPr="005F2766">
          <w:rPr>
            <w:rStyle w:val="Hyperlink"/>
          </w:rPr>
          <w:t>tanding orders</w:t>
        </w:r>
      </w:hyperlink>
      <w:r w:rsidR="004F201E">
        <w:t xml:space="preserve"> </w:t>
      </w:r>
      <w:r>
        <w:t>(Dec 202</w:t>
      </w:r>
      <w:r w:rsidR="00F02083">
        <w:t>3</w:t>
      </w:r>
      <w:r>
        <w:t>)</w:t>
      </w:r>
    </w:p>
    <w:p w14:paraId="785D6321" w14:textId="209D687A" w:rsidR="004F201E" w:rsidRDefault="005F2766" w:rsidP="008342DB">
      <w:pPr>
        <w:pStyle w:val="ListParagraph"/>
        <w:numPr>
          <w:ilvl w:val="0"/>
          <w:numId w:val="12"/>
        </w:numPr>
      </w:pPr>
      <w:hyperlink r:id="rId19" w:history="1">
        <w:r w:rsidRPr="008608AD">
          <w:rPr>
            <w:rStyle w:val="Hyperlink"/>
          </w:rPr>
          <w:t>Model s</w:t>
        </w:r>
        <w:r w:rsidR="004F201E" w:rsidRPr="008608AD">
          <w:rPr>
            <w:rStyle w:val="Hyperlink"/>
          </w:rPr>
          <w:t>cheme of delegated autho</w:t>
        </w:r>
        <w:r w:rsidR="008342DB" w:rsidRPr="008608AD">
          <w:rPr>
            <w:rStyle w:val="Hyperlink"/>
          </w:rPr>
          <w:t>r</w:t>
        </w:r>
        <w:r w:rsidR="004F201E" w:rsidRPr="008608AD">
          <w:rPr>
            <w:rStyle w:val="Hyperlink"/>
          </w:rPr>
          <w:t>ity</w:t>
        </w:r>
      </w:hyperlink>
      <w:r w:rsidR="008608AD">
        <w:t xml:space="preserve"> (Dec 2022)</w:t>
      </w:r>
    </w:p>
    <w:p w14:paraId="34E26897" w14:textId="77777777" w:rsidR="003D1CA2" w:rsidRDefault="003D1CA2" w:rsidP="004005C7">
      <w:pPr>
        <w:pStyle w:val="ListParagraph"/>
        <w:numPr>
          <w:ilvl w:val="0"/>
          <w:numId w:val="12"/>
        </w:numPr>
        <w:sectPr w:rsidR="003D1CA2" w:rsidSect="00734834">
          <w:footerReference w:type="default" r:id="rId20"/>
          <w:pgSz w:w="11906" w:h="16838"/>
          <w:pgMar w:top="1440" w:right="1440" w:bottom="1440" w:left="1440" w:header="708" w:footer="708" w:gutter="0"/>
          <w:pgNumType w:start="1"/>
          <w:cols w:space="708"/>
          <w:docGrid w:linePitch="360"/>
        </w:sectPr>
      </w:pPr>
    </w:p>
    <w:p w14:paraId="7025D28B" w14:textId="67AF6FE0" w:rsidR="008D12F0" w:rsidRPr="008D12F0" w:rsidRDefault="008D12F0" w:rsidP="008D12F0">
      <w:pPr>
        <w:rPr>
          <w:b/>
          <w:bCs/>
          <w:color w:val="2F5496" w:themeColor="accent1" w:themeShade="BF"/>
          <w:sz w:val="32"/>
          <w:szCs w:val="32"/>
        </w:rPr>
      </w:pPr>
      <w:r w:rsidRPr="008D12F0">
        <w:rPr>
          <w:b/>
          <w:bCs/>
          <w:color w:val="2F5496" w:themeColor="accent1" w:themeShade="BF"/>
          <w:sz w:val="32"/>
          <w:szCs w:val="32"/>
        </w:rPr>
        <w:lastRenderedPageBreak/>
        <w:t>Appendix A - Getting the most from an Impact Assessment or Report Summary template</w:t>
      </w:r>
    </w:p>
    <w:p w14:paraId="1FA07913" w14:textId="78AD3782" w:rsidR="008D12F0" w:rsidRPr="008D12F0" w:rsidRDefault="008D12F0" w:rsidP="008D12F0">
      <w:r w:rsidRPr="008D12F0">
        <w:t xml:space="preserve">This table </w:t>
      </w:r>
      <w:r w:rsidR="00F64689">
        <w:t xml:space="preserve">is linked to section </w:t>
      </w:r>
      <w:r w:rsidR="00560BC9">
        <w:t>6</w:t>
      </w:r>
      <w:r w:rsidR="00F64689">
        <w:t xml:space="preserve"> and </w:t>
      </w:r>
      <w:r w:rsidRPr="008D12F0">
        <w:t xml:space="preserve">includes some of the key elements that are typically included in a report summary/impact assessment </w:t>
      </w:r>
      <w:r w:rsidR="00F64689">
        <w:t xml:space="preserve">(impact / summary) </w:t>
      </w:r>
      <w:r w:rsidRPr="008D12F0">
        <w:t xml:space="preserve">with some illustrative </w:t>
      </w:r>
      <w:r w:rsidR="00F64689">
        <w:t xml:space="preserve">(hypothetical) </w:t>
      </w:r>
      <w:r w:rsidRPr="008D12F0">
        <w:t>examples of what to aim for and what to avoid</w:t>
      </w:r>
    </w:p>
    <w:tbl>
      <w:tblPr>
        <w:tblStyle w:val="TableGrid"/>
        <w:tblW w:w="0" w:type="auto"/>
        <w:tblLook w:val="04A0" w:firstRow="1" w:lastRow="0" w:firstColumn="1" w:lastColumn="0" w:noHBand="0" w:noVBand="1"/>
      </w:tblPr>
      <w:tblGrid>
        <w:gridCol w:w="4649"/>
        <w:gridCol w:w="4649"/>
        <w:gridCol w:w="4650"/>
      </w:tblGrid>
      <w:tr w:rsidR="008D12F0" w:rsidRPr="008D12F0" w14:paraId="6BC86BC8" w14:textId="77777777" w:rsidTr="008D12F0">
        <w:trPr>
          <w:tblHeader/>
        </w:trPr>
        <w:tc>
          <w:tcPr>
            <w:tcW w:w="4649" w:type="dxa"/>
            <w:shd w:val="clear" w:color="auto" w:fill="B4C6E7" w:themeFill="accent1" w:themeFillTint="66"/>
          </w:tcPr>
          <w:p w14:paraId="6A519981" w14:textId="77777777" w:rsidR="008D12F0" w:rsidRPr="008D12F0" w:rsidRDefault="008D12F0" w:rsidP="008D12F0">
            <w:pPr>
              <w:spacing w:after="160" w:line="259" w:lineRule="auto"/>
              <w:rPr>
                <w:b/>
                <w:bCs/>
              </w:rPr>
            </w:pPr>
            <w:r w:rsidRPr="008D12F0">
              <w:rPr>
                <w:b/>
                <w:bCs/>
              </w:rPr>
              <w:t>Impact / summary</w:t>
            </w:r>
          </w:p>
        </w:tc>
        <w:tc>
          <w:tcPr>
            <w:tcW w:w="4649" w:type="dxa"/>
            <w:shd w:val="clear" w:color="auto" w:fill="B4C6E7" w:themeFill="accent1" w:themeFillTint="66"/>
          </w:tcPr>
          <w:p w14:paraId="577ACE44" w14:textId="77777777" w:rsidR="008D12F0" w:rsidRPr="008D12F0" w:rsidRDefault="008D12F0" w:rsidP="008D12F0">
            <w:pPr>
              <w:spacing w:after="160" w:line="259" w:lineRule="auto"/>
              <w:rPr>
                <w:b/>
                <w:bCs/>
              </w:rPr>
            </w:pPr>
            <w:r w:rsidRPr="008D12F0">
              <w:rPr>
                <w:b/>
                <w:bCs/>
              </w:rPr>
              <w:t>Aim for</w:t>
            </w:r>
          </w:p>
        </w:tc>
        <w:tc>
          <w:tcPr>
            <w:tcW w:w="4650" w:type="dxa"/>
            <w:shd w:val="clear" w:color="auto" w:fill="B4C6E7" w:themeFill="accent1" w:themeFillTint="66"/>
          </w:tcPr>
          <w:p w14:paraId="1D47EFD4" w14:textId="77777777" w:rsidR="008D12F0" w:rsidRPr="008D12F0" w:rsidRDefault="008D12F0" w:rsidP="008D12F0">
            <w:pPr>
              <w:spacing w:after="160" w:line="259" w:lineRule="auto"/>
              <w:rPr>
                <w:b/>
                <w:bCs/>
              </w:rPr>
            </w:pPr>
            <w:r w:rsidRPr="008D12F0">
              <w:rPr>
                <w:b/>
                <w:bCs/>
              </w:rPr>
              <w:t>Aim to avoid examples</w:t>
            </w:r>
          </w:p>
        </w:tc>
      </w:tr>
      <w:tr w:rsidR="008D12F0" w:rsidRPr="008D12F0" w14:paraId="4B0ABB7F" w14:textId="77777777" w:rsidTr="00F9341B">
        <w:tc>
          <w:tcPr>
            <w:tcW w:w="4649" w:type="dxa"/>
          </w:tcPr>
          <w:p w14:paraId="02DBDAB6" w14:textId="77777777" w:rsidR="008D12F0" w:rsidRPr="008D12F0" w:rsidRDefault="008D12F0" w:rsidP="008D12F0">
            <w:pPr>
              <w:spacing w:after="160" w:line="259" w:lineRule="auto"/>
            </w:pPr>
            <w:r w:rsidRPr="008D12F0">
              <w:t>Tenants</w:t>
            </w:r>
          </w:p>
        </w:tc>
        <w:tc>
          <w:tcPr>
            <w:tcW w:w="4649" w:type="dxa"/>
          </w:tcPr>
          <w:p w14:paraId="47621FC1" w14:textId="345D74B5" w:rsidR="008D12F0" w:rsidRPr="004F4982" w:rsidRDefault="00F64689" w:rsidP="008D12F0">
            <w:pPr>
              <w:spacing w:after="160" w:line="259" w:lineRule="auto"/>
              <w:rPr>
                <w:i/>
                <w:iCs/>
              </w:rPr>
            </w:pPr>
            <w:r w:rsidRPr="004F4982">
              <w:rPr>
                <w:i/>
                <w:iCs/>
              </w:rPr>
              <w:t>“</w:t>
            </w:r>
            <w:r w:rsidR="008D12F0" w:rsidRPr="004F4982">
              <w:rPr>
                <w:i/>
                <w:iCs/>
              </w:rPr>
              <w:t>The [e.g. proposals / performance / actions] described in this report will result in tenants [e.g. rents being increased by 5.2% to support the maintenance of the current asset management programme/ being able to report repairs online/ having greater access to the income maximisation service]</w:t>
            </w:r>
            <w:r w:rsidRPr="004F4982">
              <w:rPr>
                <w:i/>
                <w:iCs/>
              </w:rPr>
              <w:t>”</w:t>
            </w:r>
          </w:p>
        </w:tc>
        <w:tc>
          <w:tcPr>
            <w:tcW w:w="4650" w:type="dxa"/>
          </w:tcPr>
          <w:p w14:paraId="1A690C54" w14:textId="405A4843" w:rsidR="008D12F0" w:rsidRPr="004F4982" w:rsidRDefault="00F64689" w:rsidP="008D12F0">
            <w:pPr>
              <w:spacing w:after="160" w:line="259" w:lineRule="auto"/>
              <w:rPr>
                <w:i/>
                <w:iCs/>
              </w:rPr>
            </w:pPr>
            <w:r w:rsidRPr="004F4982">
              <w:rPr>
                <w:i/>
                <w:iCs/>
              </w:rPr>
              <w:t>“</w:t>
            </w:r>
            <w:r w:rsidR="008D12F0" w:rsidRPr="004F4982">
              <w:rPr>
                <w:i/>
                <w:iCs/>
              </w:rPr>
              <w:t>There is no impact on tenants</w:t>
            </w:r>
            <w:r w:rsidR="00E26363" w:rsidRPr="004F4982">
              <w:rPr>
                <w:i/>
                <w:iCs/>
              </w:rPr>
              <w:t>”</w:t>
            </w:r>
          </w:p>
        </w:tc>
      </w:tr>
      <w:tr w:rsidR="008D12F0" w:rsidRPr="008D12F0" w14:paraId="29E077F8" w14:textId="77777777" w:rsidTr="00F9341B">
        <w:tc>
          <w:tcPr>
            <w:tcW w:w="4649" w:type="dxa"/>
          </w:tcPr>
          <w:p w14:paraId="75C7CDD3" w14:textId="77777777" w:rsidR="008D12F0" w:rsidRPr="008D12F0" w:rsidRDefault="008D12F0" w:rsidP="008D12F0">
            <w:pPr>
              <w:spacing w:after="160" w:line="259" w:lineRule="auto"/>
            </w:pPr>
            <w:r w:rsidRPr="008D12F0">
              <w:t>Compliance and Assurance</w:t>
            </w:r>
          </w:p>
        </w:tc>
        <w:tc>
          <w:tcPr>
            <w:tcW w:w="4649" w:type="dxa"/>
          </w:tcPr>
          <w:p w14:paraId="0D301DED" w14:textId="6DA467DC" w:rsidR="008D12F0" w:rsidRPr="004F4982" w:rsidRDefault="00F64689" w:rsidP="008D12F0">
            <w:pPr>
              <w:spacing w:after="160" w:line="259" w:lineRule="auto"/>
              <w:rPr>
                <w:i/>
                <w:iCs/>
              </w:rPr>
            </w:pPr>
            <w:r w:rsidRPr="004F4982">
              <w:rPr>
                <w:i/>
                <w:iCs/>
              </w:rPr>
              <w:t>“</w:t>
            </w:r>
            <w:r w:rsidR="008D12F0" w:rsidRPr="004F4982">
              <w:rPr>
                <w:i/>
                <w:iCs/>
              </w:rPr>
              <w:t>The report provides assurance that our current borrowing complies with the Treasury Management policy by (e.g. insert ratio), we continue to comply with all covenants (insert details) and that the necessary returns have been submitted to our lenders</w:t>
            </w:r>
            <w:r w:rsidRPr="004F4982">
              <w:rPr>
                <w:i/>
                <w:iCs/>
              </w:rPr>
              <w:t>”</w:t>
            </w:r>
          </w:p>
        </w:tc>
        <w:tc>
          <w:tcPr>
            <w:tcW w:w="4650" w:type="dxa"/>
          </w:tcPr>
          <w:p w14:paraId="09F8D3C2" w14:textId="387141B7" w:rsidR="008D12F0" w:rsidRPr="004F4982" w:rsidRDefault="00F64689" w:rsidP="008D12F0">
            <w:pPr>
              <w:spacing w:after="160" w:line="259" w:lineRule="auto"/>
              <w:rPr>
                <w:i/>
                <w:iCs/>
              </w:rPr>
            </w:pPr>
            <w:r w:rsidRPr="004F4982">
              <w:rPr>
                <w:i/>
                <w:iCs/>
              </w:rPr>
              <w:t>“</w:t>
            </w:r>
            <w:r w:rsidR="008D12F0" w:rsidRPr="004F4982">
              <w:rPr>
                <w:i/>
                <w:iCs/>
              </w:rPr>
              <w:t>Complies with Regulatory Standard 2</w:t>
            </w:r>
            <w:r w:rsidRPr="004F4982">
              <w:rPr>
                <w:i/>
                <w:iCs/>
              </w:rPr>
              <w:t>”</w:t>
            </w:r>
          </w:p>
        </w:tc>
      </w:tr>
      <w:tr w:rsidR="008D12F0" w:rsidRPr="008D12F0" w14:paraId="633F1924" w14:textId="77777777" w:rsidTr="00F9341B">
        <w:tc>
          <w:tcPr>
            <w:tcW w:w="4649" w:type="dxa"/>
          </w:tcPr>
          <w:p w14:paraId="23672B4E" w14:textId="77777777" w:rsidR="008D12F0" w:rsidRPr="008D12F0" w:rsidRDefault="008D12F0" w:rsidP="008D12F0">
            <w:pPr>
              <w:spacing w:after="160" w:line="259" w:lineRule="auto"/>
            </w:pPr>
            <w:r w:rsidRPr="008D12F0">
              <w:t>Risk</w:t>
            </w:r>
          </w:p>
        </w:tc>
        <w:tc>
          <w:tcPr>
            <w:tcW w:w="4649" w:type="dxa"/>
          </w:tcPr>
          <w:p w14:paraId="47F50A61" w14:textId="22BE3140" w:rsidR="008D12F0" w:rsidRPr="004F4982" w:rsidRDefault="00F64689" w:rsidP="008D12F0">
            <w:pPr>
              <w:spacing w:after="160" w:line="259" w:lineRule="auto"/>
              <w:rPr>
                <w:i/>
                <w:iCs/>
              </w:rPr>
            </w:pPr>
            <w:r w:rsidRPr="004F4982">
              <w:rPr>
                <w:i/>
                <w:iCs/>
              </w:rPr>
              <w:t>“</w:t>
            </w:r>
            <w:r w:rsidR="008D12F0" w:rsidRPr="004F4982">
              <w:rPr>
                <w:i/>
                <w:iCs/>
              </w:rPr>
              <w:t xml:space="preserve">The proposed rent increase is sufficient to ensure that our </w:t>
            </w:r>
            <w:proofErr w:type="gramStart"/>
            <w:r w:rsidR="008D12F0" w:rsidRPr="004F4982">
              <w:rPr>
                <w:i/>
                <w:iCs/>
              </w:rPr>
              <w:t>5 and 30 year</w:t>
            </w:r>
            <w:proofErr w:type="gramEnd"/>
            <w:r w:rsidR="008D12F0" w:rsidRPr="004F4982">
              <w:rPr>
                <w:i/>
                <w:iCs/>
              </w:rPr>
              <w:t xml:space="preserve"> financial projections will support our business plan and ensure XHA’s ongoing financial sustainability (insert relevant risk details)</w:t>
            </w:r>
            <w:r w:rsidRPr="004F4982">
              <w:rPr>
                <w:i/>
                <w:iCs/>
              </w:rPr>
              <w:t>”</w:t>
            </w:r>
            <w:r w:rsidR="008D12F0" w:rsidRPr="004F4982">
              <w:rPr>
                <w:i/>
                <w:iCs/>
              </w:rPr>
              <w:t xml:space="preserve"> </w:t>
            </w:r>
          </w:p>
        </w:tc>
        <w:tc>
          <w:tcPr>
            <w:tcW w:w="4650" w:type="dxa"/>
          </w:tcPr>
          <w:p w14:paraId="1E9C0A2D" w14:textId="15513889" w:rsidR="008D12F0" w:rsidRPr="004F4982" w:rsidRDefault="00F64689" w:rsidP="008D12F0">
            <w:pPr>
              <w:spacing w:after="160" w:line="259" w:lineRule="auto"/>
              <w:rPr>
                <w:i/>
                <w:iCs/>
              </w:rPr>
            </w:pPr>
            <w:r w:rsidRPr="004F4982">
              <w:rPr>
                <w:i/>
                <w:iCs/>
              </w:rPr>
              <w:t>“</w:t>
            </w:r>
            <w:r w:rsidR="008D12F0" w:rsidRPr="004F4982">
              <w:rPr>
                <w:i/>
                <w:iCs/>
              </w:rPr>
              <w:t>Key Risk 3</w:t>
            </w:r>
            <w:r w:rsidRPr="004F4982">
              <w:rPr>
                <w:i/>
                <w:iCs/>
              </w:rPr>
              <w:t>”</w:t>
            </w:r>
          </w:p>
        </w:tc>
      </w:tr>
      <w:tr w:rsidR="008D12F0" w:rsidRPr="008D12F0" w14:paraId="0A491E29" w14:textId="77777777" w:rsidTr="00F9341B">
        <w:tc>
          <w:tcPr>
            <w:tcW w:w="4649" w:type="dxa"/>
          </w:tcPr>
          <w:p w14:paraId="06B46E25" w14:textId="77777777" w:rsidR="008D12F0" w:rsidRPr="008D12F0" w:rsidRDefault="008D12F0" w:rsidP="008D12F0">
            <w:pPr>
              <w:spacing w:after="160" w:line="259" w:lineRule="auto"/>
            </w:pPr>
            <w:r w:rsidRPr="008D12F0">
              <w:t>Finance</w:t>
            </w:r>
          </w:p>
        </w:tc>
        <w:tc>
          <w:tcPr>
            <w:tcW w:w="4649" w:type="dxa"/>
          </w:tcPr>
          <w:p w14:paraId="52F242C7" w14:textId="22B55A57" w:rsidR="008D12F0" w:rsidRPr="004F4982" w:rsidRDefault="00F64689" w:rsidP="008D12F0">
            <w:pPr>
              <w:spacing w:after="160" w:line="259" w:lineRule="auto"/>
              <w:rPr>
                <w:i/>
                <w:iCs/>
              </w:rPr>
            </w:pPr>
            <w:r w:rsidRPr="004F4982">
              <w:rPr>
                <w:i/>
                <w:iCs/>
              </w:rPr>
              <w:t>“</w:t>
            </w:r>
            <w:r w:rsidR="008D12F0" w:rsidRPr="004F4982">
              <w:rPr>
                <w:i/>
                <w:iCs/>
              </w:rPr>
              <w:t xml:space="preserve">The proposals will require additional expenditure of £X which is not currently </w:t>
            </w:r>
            <w:r w:rsidR="008D12F0" w:rsidRPr="004F4982">
              <w:rPr>
                <w:i/>
                <w:iCs/>
              </w:rPr>
              <w:lastRenderedPageBreak/>
              <w:t>contained within the budget; it is proposed that these additional costs will be met by (insert details)</w:t>
            </w:r>
            <w:r w:rsidRPr="004F4982">
              <w:rPr>
                <w:i/>
                <w:iCs/>
              </w:rPr>
              <w:t>”</w:t>
            </w:r>
          </w:p>
        </w:tc>
        <w:tc>
          <w:tcPr>
            <w:tcW w:w="4650" w:type="dxa"/>
          </w:tcPr>
          <w:p w14:paraId="32F8B51E" w14:textId="03CE6B25" w:rsidR="008D12F0" w:rsidRPr="004F4982" w:rsidRDefault="00F64689" w:rsidP="008D12F0">
            <w:pPr>
              <w:spacing w:after="160" w:line="259" w:lineRule="auto"/>
              <w:rPr>
                <w:i/>
                <w:iCs/>
              </w:rPr>
            </w:pPr>
            <w:r w:rsidRPr="004F4982">
              <w:rPr>
                <w:i/>
                <w:iCs/>
              </w:rPr>
              <w:lastRenderedPageBreak/>
              <w:t>“</w:t>
            </w:r>
            <w:r w:rsidR="008D12F0" w:rsidRPr="004F4982">
              <w:rPr>
                <w:i/>
                <w:iCs/>
              </w:rPr>
              <w:t>Within budget / requires budget review</w:t>
            </w:r>
            <w:r w:rsidRPr="004F4982">
              <w:rPr>
                <w:i/>
                <w:iCs/>
              </w:rPr>
              <w:t>”</w:t>
            </w:r>
          </w:p>
        </w:tc>
      </w:tr>
      <w:tr w:rsidR="008D12F0" w:rsidRPr="008D12F0" w14:paraId="448EFFC5" w14:textId="77777777" w:rsidTr="00F9341B">
        <w:tc>
          <w:tcPr>
            <w:tcW w:w="4649" w:type="dxa"/>
          </w:tcPr>
          <w:p w14:paraId="3216D1B4" w14:textId="77777777" w:rsidR="008D12F0" w:rsidRPr="008D12F0" w:rsidRDefault="008D12F0" w:rsidP="008D12F0">
            <w:pPr>
              <w:spacing w:after="160" w:line="259" w:lineRule="auto"/>
            </w:pPr>
            <w:r w:rsidRPr="008D12F0">
              <w:t>Performance</w:t>
            </w:r>
          </w:p>
        </w:tc>
        <w:tc>
          <w:tcPr>
            <w:tcW w:w="4649" w:type="dxa"/>
          </w:tcPr>
          <w:p w14:paraId="3077B2D2" w14:textId="4310FA44" w:rsidR="008D12F0" w:rsidRPr="004F4982" w:rsidRDefault="00F64689" w:rsidP="008D12F0">
            <w:pPr>
              <w:spacing w:after="160" w:line="259" w:lineRule="auto"/>
              <w:rPr>
                <w:i/>
                <w:iCs/>
              </w:rPr>
            </w:pPr>
            <w:r w:rsidRPr="004F4982">
              <w:rPr>
                <w:i/>
                <w:iCs/>
              </w:rPr>
              <w:t>“</w:t>
            </w:r>
            <w:r w:rsidR="008D12F0" w:rsidRPr="004F4982">
              <w:rPr>
                <w:i/>
                <w:iCs/>
              </w:rPr>
              <w:t>Reporting contractor performance and tenant satisfaction with the reactive repairs service enables the GB to scrutinise our performance against internal KPIs, ARC indicators and peer group benchmarks: all indicators are met</w:t>
            </w:r>
            <w:r w:rsidRPr="004F4982">
              <w:rPr>
                <w:i/>
                <w:iCs/>
              </w:rPr>
              <w:t>”</w:t>
            </w:r>
          </w:p>
        </w:tc>
        <w:tc>
          <w:tcPr>
            <w:tcW w:w="4650" w:type="dxa"/>
          </w:tcPr>
          <w:p w14:paraId="7B13E040" w14:textId="4FC7A636" w:rsidR="008D12F0" w:rsidRPr="004F4982" w:rsidRDefault="00F64689" w:rsidP="008D12F0">
            <w:pPr>
              <w:spacing w:after="160" w:line="259" w:lineRule="auto"/>
              <w:rPr>
                <w:i/>
                <w:iCs/>
              </w:rPr>
            </w:pPr>
            <w:r w:rsidRPr="004F4982">
              <w:rPr>
                <w:i/>
                <w:iCs/>
              </w:rPr>
              <w:t>“</w:t>
            </w:r>
            <w:r w:rsidR="008D12F0" w:rsidRPr="004F4982">
              <w:rPr>
                <w:i/>
                <w:iCs/>
              </w:rPr>
              <w:t>Meets KPIs</w:t>
            </w:r>
            <w:r w:rsidRPr="004F4982">
              <w:rPr>
                <w:i/>
                <w:iCs/>
              </w:rPr>
              <w:t>”</w:t>
            </w:r>
          </w:p>
        </w:tc>
      </w:tr>
      <w:tr w:rsidR="008D12F0" w:rsidRPr="008D12F0" w14:paraId="0D7202D8" w14:textId="77777777" w:rsidTr="00F9341B">
        <w:tc>
          <w:tcPr>
            <w:tcW w:w="4649" w:type="dxa"/>
          </w:tcPr>
          <w:p w14:paraId="3CF7009C" w14:textId="77777777" w:rsidR="008D12F0" w:rsidRPr="008D12F0" w:rsidRDefault="008D12F0" w:rsidP="008D12F0">
            <w:pPr>
              <w:spacing w:after="160" w:line="259" w:lineRule="auto"/>
            </w:pPr>
            <w:r w:rsidRPr="008D12F0">
              <w:t>Corporate / Strategic Objectives</w:t>
            </w:r>
          </w:p>
        </w:tc>
        <w:tc>
          <w:tcPr>
            <w:tcW w:w="4649" w:type="dxa"/>
          </w:tcPr>
          <w:p w14:paraId="6ADF248E" w14:textId="4652773F" w:rsidR="008D12F0" w:rsidRPr="004F4982" w:rsidRDefault="00F64689" w:rsidP="008D12F0">
            <w:pPr>
              <w:spacing w:after="160" w:line="259" w:lineRule="auto"/>
              <w:rPr>
                <w:i/>
                <w:iCs/>
              </w:rPr>
            </w:pPr>
            <w:r w:rsidRPr="004F4982">
              <w:rPr>
                <w:i/>
                <w:iCs/>
              </w:rPr>
              <w:t>“</w:t>
            </w:r>
            <w:r w:rsidR="008D12F0" w:rsidRPr="004F4982">
              <w:rPr>
                <w:i/>
                <w:iCs/>
              </w:rPr>
              <w:t>This report supports the delivery of objectives 2 and 6 (specify) by [provide description of outcomes / results / consequences as they relate to specific objectives]</w:t>
            </w:r>
            <w:r w:rsidRPr="004F4982">
              <w:rPr>
                <w:i/>
                <w:iCs/>
              </w:rPr>
              <w:t>”</w:t>
            </w:r>
          </w:p>
        </w:tc>
        <w:tc>
          <w:tcPr>
            <w:tcW w:w="4650" w:type="dxa"/>
          </w:tcPr>
          <w:p w14:paraId="0D8A4B28" w14:textId="0DAE5982" w:rsidR="008D12F0" w:rsidRPr="004F4982" w:rsidRDefault="00F64689" w:rsidP="008D12F0">
            <w:pPr>
              <w:spacing w:after="160" w:line="259" w:lineRule="auto"/>
              <w:rPr>
                <w:i/>
                <w:iCs/>
              </w:rPr>
            </w:pPr>
            <w:r w:rsidRPr="004F4982">
              <w:rPr>
                <w:i/>
                <w:iCs/>
              </w:rPr>
              <w:t>“</w:t>
            </w:r>
            <w:r w:rsidR="008D12F0" w:rsidRPr="004F4982">
              <w:rPr>
                <w:i/>
                <w:iCs/>
              </w:rPr>
              <w:t>This report supports corporate objectives 2 and 6</w:t>
            </w:r>
            <w:r w:rsidRPr="004F4982">
              <w:rPr>
                <w:i/>
                <w:iCs/>
              </w:rPr>
              <w:t>”</w:t>
            </w:r>
          </w:p>
        </w:tc>
      </w:tr>
      <w:tr w:rsidR="008D12F0" w:rsidRPr="008D12F0" w14:paraId="6D1A1926" w14:textId="77777777" w:rsidTr="00F9341B">
        <w:tc>
          <w:tcPr>
            <w:tcW w:w="4649" w:type="dxa"/>
          </w:tcPr>
          <w:p w14:paraId="69E3CC9E" w14:textId="77777777" w:rsidR="008D12F0" w:rsidRPr="008D12F0" w:rsidRDefault="008D12F0" w:rsidP="008D12F0">
            <w:pPr>
              <w:spacing w:after="160" w:line="259" w:lineRule="auto"/>
            </w:pPr>
            <w:r w:rsidRPr="008D12F0">
              <w:t>Equalities &amp; Diversity</w:t>
            </w:r>
          </w:p>
        </w:tc>
        <w:tc>
          <w:tcPr>
            <w:tcW w:w="4649" w:type="dxa"/>
          </w:tcPr>
          <w:p w14:paraId="632DB36C" w14:textId="7DAB7E06" w:rsidR="008D12F0" w:rsidRPr="004F4982" w:rsidRDefault="00F64689" w:rsidP="008D12F0">
            <w:pPr>
              <w:spacing w:after="160" w:line="259" w:lineRule="auto"/>
              <w:rPr>
                <w:i/>
                <w:iCs/>
              </w:rPr>
            </w:pPr>
            <w:r w:rsidRPr="004F4982">
              <w:rPr>
                <w:i/>
                <w:iCs/>
              </w:rPr>
              <w:t>“</w:t>
            </w:r>
            <w:r w:rsidR="008D12F0" w:rsidRPr="004F4982">
              <w:rPr>
                <w:i/>
                <w:iCs/>
              </w:rPr>
              <w:t>Developing our tenant portal to enable online repairs reporting will enable more tenants to access our services more easily; office-based staff are available during the day and early evening to support in-person contact and support to tenants; digital skills workshops are offered regularly to tenants, in consultation with the tenants’ forum</w:t>
            </w:r>
            <w:r w:rsidRPr="004F4982">
              <w:rPr>
                <w:i/>
                <w:iCs/>
              </w:rPr>
              <w:t>”</w:t>
            </w:r>
          </w:p>
        </w:tc>
        <w:tc>
          <w:tcPr>
            <w:tcW w:w="4650" w:type="dxa"/>
          </w:tcPr>
          <w:p w14:paraId="6B4910E5" w14:textId="1AF220C2" w:rsidR="008D12F0" w:rsidRPr="004F4982" w:rsidRDefault="00F64689" w:rsidP="008D12F0">
            <w:pPr>
              <w:spacing w:after="160" w:line="259" w:lineRule="auto"/>
              <w:rPr>
                <w:i/>
                <w:iCs/>
              </w:rPr>
            </w:pPr>
            <w:r w:rsidRPr="004F4982">
              <w:rPr>
                <w:i/>
                <w:iCs/>
              </w:rPr>
              <w:t>“</w:t>
            </w:r>
            <w:r w:rsidR="008D12F0" w:rsidRPr="004F4982">
              <w:rPr>
                <w:i/>
                <w:iCs/>
              </w:rPr>
              <w:t>Complies with our EDI policy</w:t>
            </w:r>
            <w:r w:rsidRPr="004F4982">
              <w:rPr>
                <w:i/>
                <w:iCs/>
              </w:rPr>
              <w:t>”</w:t>
            </w:r>
          </w:p>
        </w:tc>
      </w:tr>
    </w:tbl>
    <w:p w14:paraId="37837BFE" w14:textId="77777777" w:rsidR="004005C7" w:rsidRDefault="004005C7" w:rsidP="004005C7"/>
    <w:sectPr w:rsidR="004005C7" w:rsidSect="008D12F0">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4396" w14:textId="77777777" w:rsidR="00665DA3" w:rsidRDefault="00665DA3" w:rsidP="00E2593C">
      <w:pPr>
        <w:spacing w:after="0" w:line="240" w:lineRule="auto"/>
      </w:pPr>
      <w:r>
        <w:separator/>
      </w:r>
    </w:p>
  </w:endnote>
  <w:endnote w:type="continuationSeparator" w:id="0">
    <w:p w14:paraId="70A8DB13" w14:textId="77777777" w:rsidR="00665DA3" w:rsidRDefault="00665DA3" w:rsidP="00E2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1C17" w14:textId="69C8CDFE" w:rsidR="00734834" w:rsidRDefault="00734834" w:rsidP="00734834">
    <w:pPr>
      <w:pStyle w:val="Footer"/>
      <w:jc w:val="right"/>
    </w:pPr>
  </w:p>
  <w:p w14:paraId="0858CD2C" w14:textId="4E568F6B" w:rsidR="00BC4FA3" w:rsidRPr="00292666" w:rsidRDefault="00BC4FA3" w:rsidP="00292666">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428C" w14:textId="077C5514" w:rsidR="00734834" w:rsidRDefault="00734834">
    <w:pPr>
      <w:pStyle w:val="Footer"/>
      <w:jc w:val="right"/>
    </w:pPr>
  </w:p>
  <w:p w14:paraId="7DBAB080" w14:textId="77777777" w:rsidR="00734834" w:rsidRPr="00292666" w:rsidRDefault="00734834" w:rsidP="00292666">
    <w:pPr>
      <w:pStyle w:val="Footer"/>
      <w:jc w:val="center"/>
      <w:rPr>
        <w:i/>
        <w:iCs/>
      </w:rPr>
    </w:pPr>
    <w:r w:rsidRPr="00292666">
      <w:rPr>
        <w:i/>
        <w:iCs/>
      </w:rPr>
      <w:t>Effective Reporting to the Governing Body</w:t>
    </w:r>
    <w:r>
      <w:rPr>
        <w:i/>
        <w:iCs/>
      </w:rPr>
      <w:t xml:space="preserve"> (Feb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239923"/>
      <w:docPartObj>
        <w:docPartGallery w:val="Page Numbers (Bottom of Page)"/>
        <w:docPartUnique/>
      </w:docPartObj>
    </w:sdtPr>
    <w:sdtContent>
      <w:p w14:paraId="6BD213D9" w14:textId="77777777" w:rsidR="00734834" w:rsidRDefault="0073483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5504E82" w14:textId="77777777" w:rsidR="00734834" w:rsidRPr="00292666" w:rsidRDefault="00734834" w:rsidP="00292666">
    <w:pPr>
      <w:pStyle w:val="Footer"/>
      <w:jc w:val="center"/>
      <w:rPr>
        <w:i/>
        <w:iCs/>
      </w:rPr>
    </w:pPr>
    <w:r w:rsidRPr="00292666">
      <w:rPr>
        <w:i/>
        <w:iCs/>
      </w:rPr>
      <w:t>Effective Reporting to the Governing Body</w:t>
    </w:r>
    <w:r>
      <w:rPr>
        <w:i/>
        <w:iCs/>
      </w:rPr>
      <w:t xml:space="preserve">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EEA0" w14:textId="77777777" w:rsidR="00665DA3" w:rsidRDefault="00665DA3" w:rsidP="00E2593C">
      <w:pPr>
        <w:spacing w:after="0" w:line="240" w:lineRule="auto"/>
      </w:pPr>
      <w:r>
        <w:separator/>
      </w:r>
    </w:p>
  </w:footnote>
  <w:footnote w:type="continuationSeparator" w:id="0">
    <w:p w14:paraId="43DFEE85" w14:textId="77777777" w:rsidR="00665DA3" w:rsidRDefault="00665DA3" w:rsidP="00E2593C">
      <w:pPr>
        <w:spacing w:after="0" w:line="240" w:lineRule="auto"/>
      </w:pPr>
      <w:r>
        <w:continuationSeparator/>
      </w:r>
    </w:p>
  </w:footnote>
  <w:footnote w:id="1">
    <w:p w14:paraId="715DBB9F" w14:textId="74295077" w:rsidR="006D45E2" w:rsidRDefault="006D45E2">
      <w:pPr>
        <w:pStyle w:val="FootnoteText"/>
      </w:pPr>
      <w:r>
        <w:rPr>
          <w:rStyle w:val="FootnoteReference"/>
        </w:rPr>
        <w:footnoteRef/>
      </w:r>
      <w:r>
        <w:t xml:space="preserve"> </w:t>
      </w:r>
      <w:r w:rsidR="007E4EC9">
        <w:t xml:space="preserve">Lead Officer and </w:t>
      </w:r>
      <w:r>
        <w:t xml:space="preserve">Principal Adviser </w:t>
      </w:r>
      <w:r w:rsidR="007E4EC9">
        <w:t xml:space="preserve"> are</w:t>
      </w:r>
      <w:r>
        <w:t xml:space="preserve"> </w:t>
      </w:r>
      <w:r w:rsidR="005D14F0">
        <w:t>term</w:t>
      </w:r>
      <w:r w:rsidR="007E4EC9">
        <w:t>s</w:t>
      </w:r>
      <w:r w:rsidR="005D14F0">
        <w:t xml:space="preserve"> used </w:t>
      </w:r>
      <w:r w:rsidR="007E4EC9">
        <w:t xml:space="preserve">in this guidance </w:t>
      </w:r>
      <w:r w:rsidR="005D14F0">
        <w:t xml:space="preserve">to identify the </w:t>
      </w:r>
      <w:r>
        <w:t>senior staff member with primary responsibility for supporting the governing body and individual sub-committees: e.g. the Principal Adviser to the GB will be the CEO; the staff member with primary responsibility for finance will usually fulfil the role for e.g. the Finance Audit and Risk sub-committee</w:t>
      </w:r>
    </w:p>
  </w:footnote>
  <w:footnote w:id="2">
    <w:p w14:paraId="520F7A3A" w14:textId="6A6AF59E" w:rsidR="00CF6908" w:rsidRDefault="00CF6908" w:rsidP="00CF6908">
      <w:pPr>
        <w:pStyle w:val="FootnoteText"/>
      </w:pPr>
      <w:r>
        <w:rPr>
          <w:rStyle w:val="FootnoteReference"/>
        </w:rPr>
        <w:footnoteRef/>
      </w:r>
      <w:r>
        <w:t xml:space="preserve"> See </w:t>
      </w:r>
      <w:r w:rsidR="00B920F6">
        <w:t xml:space="preserve">SFHA’s </w:t>
      </w:r>
      <w:hyperlink r:id="rId1" w:history="1">
        <w:r w:rsidR="00B920F6" w:rsidRPr="00803DE0">
          <w:rPr>
            <w:rStyle w:val="Hyperlink"/>
          </w:rPr>
          <w:t>Get Governance Guidance</w:t>
        </w:r>
      </w:hyperlink>
      <w:r w:rsidR="00B920F6">
        <w:t xml:space="preserve">: </w:t>
      </w:r>
      <w:hyperlink r:id="rId2" w:history="1">
        <w:r w:rsidR="00B920F6" w:rsidRPr="006C5953">
          <w:rPr>
            <w:rStyle w:val="Hyperlink"/>
          </w:rPr>
          <w:t>Governing Body Member Reviews (January 2025)</w:t>
        </w:r>
      </w:hyperlink>
      <w:r w:rsidR="00B920F6">
        <w:t xml:space="preserve">, </w:t>
      </w:r>
      <w:hyperlink r:id="rId3" w:history="1">
        <w:r w:rsidR="00B920F6" w:rsidRPr="006F35AD">
          <w:rPr>
            <w:rStyle w:val="Hyperlink"/>
          </w:rPr>
          <w:t>Governing Body Member Succession Planning and Recruitment (January 2025)</w:t>
        </w:r>
      </w:hyperlink>
      <w:r w:rsidR="00B920F6">
        <w:t xml:space="preserve"> and </w:t>
      </w:r>
      <w:r>
        <w:t xml:space="preserve">Section </w:t>
      </w:r>
      <w:r w:rsidR="00455713">
        <w:t>3</w:t>
      </w:r>
      <w:r w:rsidR="00B920F6">
        <w:t xml:space="preserve"> of this publication</w:t>
      </w:r>
    </w:p>
  </w:footnote>
  <w:footnote w:id="3">
    <w:p w14:paraId="64F60286" w14:textId="77777777" w:rsidR="008B5E91" w:rsidRDefault="008B5E91" w:rsidP="008B5E91">
      <w:pPr>
        <w:pStyle w:val="FootnoteText"/>
      </w:pPr>
      <w:r>
        <w:rPr>
          <w:rStyle w:val="FootnoteReference"/>
        </w:rPr>
        <w:footnoteRef/>
      </w:r>
      <w:r>
        <w:t xml:space="preserve"> The term “GB” is intended to apply equally to the governing body, sub-committees, working groups etc.</w:t>
      </w:r>
    </w:p>
  </w:footnote>
  <w:footnote w:id="4">
    <w:p w14:paraId="5D5EFD8B" w14:textId="7A2A70C2" w:rsidR="00E2593C" w:rsidRDefault="00E2593C">
      <w:pPr>
        <w:pStyle w:val="FootnoteText"/>
      </w:pPr>
      <w:r>
        <w:rPr>
          <w:rStyle w:val="FootnoteReference"/>
        </w:rPr>
        <w:footnoteRef/>
      </w:r>
      <w:r>
        <w:t xml:space="preserve"> </w:t>
      </w:r>
      <w:r w:rsidR="0032315F">
        <w:t xml:space="preserve">SFHA (April 2023): </w:t>
      </w:r>
      <w:hyperlink r:id="rId4" w:history="1">
        <w:r w:rsidRPr="0032315F">
          <w:rPr>
            <w:rStyle w:val="Hyperlink"/>
          </w:rPr>
          <w:t xml:space="preserve">Getting the </w:t>
        </w:r>
        <w:r w:rsidR="0032315F" w:rsidRPr="0032315F">
          <w:rPr>
            <w:rStyle w:val="Hyperlink"/>
          </w:rPr>
          <w:t>b</w:t>
        </w:r>
        <w:r w:rsidRPr="0032315F">
          <w:rPr>
            <w:rStyle w:val="Hyperlink"/>
          </w:rPr>
          <w:t xml:space="preserve">alance </w:t>
        </w:r>
        <w:r w:rsidR="0032315F" w:rsidRPr="0032315F">
          <w:rPr>
            <w:rStyle w:val="Hyperlink"/>
          </w:rPr>
          <w:t>r</w:t>
        </w:r>
        <w:r w:rsidRPr="0032315F">
          <w:rPr>
            <w:rStyle w:val="Hyperlink"/>
          </w:rPr>
          <w:t>ight</w:t>
        </w:r>
        <w:r w:rsidR="0032315F" w:rsidRPr="0032315F">
          <w:rPr>
            <w:rStyle w:val="Hyperlink"/>
          </w:rPr>
          <w:t>: strategic and operational responsibility</w:t>
        </w:r>
      </w:hyperlink>
    </w:p>
  </w:footnote>
  <w:footnote w:id="5">
    <w:p w14:paraId="43272A73" w14:textId="5E779047" w:rsidR="009B6E03" w:rsidRDefault="009B6E03">
      <w:pPr>
        <w:pStyle w:val="FootnoteText"/>
      </w:pPr>
      <w:r>
        <w:rPr>
          <w:rStyle w:val="FootnoteReference"/>
        </w:rPr>
        <w:footnoteRef/>
      </w:r>
      <w:r>
        <w:t xml:space="preserve"> Approval of e.g. statutory or regulatory return which is required and the GB is approving accuracy and submission</w:t>
      </w:r>
    </w:p>
  </w:footnote>
  <w:footnote w:id="6">
    <w:p w14:paraId="53AC7093" w14:textId="4BBBBC6E" w:rsidR="009B6E03" w:rsidRDefault="009B6E03">
      <w:pPr>
        <w:pStyle w:val="FootnoteText"/>
      </w:pPr>
      <w:r>
        <w:rPr>
          <w:rStyle w:val="FootnoteReference"/>
        </w:rPr>
        <w:footnoteRef/>
      </w:r>
      <w:r>
        <w:t xml:space="preserve"> Decide on an issue where the outcome is in the control of the GB e.g. amount of annual rent increase; lettable standard; governance structure</w:t>
      </w:r>
    </w:p>
  </w:footnote>
  <w:footnote w:id="7">
    <w:p w14:paraId="224226F9" w14:textId="22AF2E4B" w:rsidR="0094065A" w:rsidRDefault="0094065A">
      <w:pPr>
        <w:pStyle w:val="FootnoteText"/>
      </w:pPr>
      <w:r>
        <w:rPr>
          <w:rStyle w:val="FootnoteReference"/>
        </w:rPr>
        <w:footnoteRef/>
      </w:r>
      <w:r>
        <w:t xml:space="preserve"> By ensuring that meeting schedules are structured to accommodate reporting periods and avoid extended gaps between the conclusion of the reporting period and consideration of the out-turn report</w:t>
      </w:r>
    </w:p>
  </w:footnote>
  <w:footnote w:id="8">
    <w:p w14:paraId="2D000197" w14:textId="1F3CD8BE" w:rsidR="0094065A" w:rsidRDefault="0094065A">
      <w:pPr>
        <w:pStyle w:val="FootnoteText"/>
      </w:pPr>
      <w:r>
        <w:rPr>
          <w:rStyle w:val="FootnoteReference"/>
        </w:rPr>
        <w:footnoteRef/>
      </w:r>
      <w:r>
        <w:t xml:space="preserve"> This could happen, for example, if a quarterly finance report has been considered by a sub-committee before the GB has considered a report about a specific business activity</w:t>
      </w:r>
    </w:p>
  </w:footnote>
  <w:footnote w:id="9">
    <w:p w14:paraId="4A51949B" w14:textId="77777777" w:rsidR="004E6726" w:rsidRDefault="004E6726" w:rsidP="004E6726">
      <w:pPr>
        <w:pStyle w:val="FootnoteText"/>
      </w:pPr>
      <w:r>
        <w:rPr>
          <w:rStyle w:val="FootnoteReference"/>
        </w:rPr>
        <w:footnoteRef/>
      </w:r>
      <w:r>
        <w:t xml:space="preserve"> SFHA (Dec 2022) </w:t>
      </w:r>
      <w:hyperlink r:id="rId5" w:history="1">
        <w:r w:rsidRPr="00F86E1D">
          <w:rPr>
            <w:rStyle w:val="Hyperlink"/>
          </w:rPr>
          <w:t>Model scheme of delegated authority</w:t>
        </w:r>
      </w:hyperlink>
    </w:p>
  </w:footnote>
  <w:footnote w:id="10">
    <w:p w14:paraId="36BEE0C4" w14:textId="77777777" w:rsidR="004E6726" w:rsidRDefault="004E6726" w:rsidP="004E6726">
      <w:pPr>
        <w:pStyle w:val="FootnoteText"/>
      </w:pPr>
      <w:r>
        <w:rPr>
          <w:rStyle w:val="FootnoteReference"/>
        </w:rPr>
        <w:footnoteRef/>
      </w:r>
      <w:r>
        <w:t xml:space="preserve"> SFHA GBM Recruitment and Succession Planning (2025) Section 4</w:t>
      </w:r>
    </w:p>
  </w:footnote>
  <w:footnote w:id="11">
    <w:p w14:paraId="74269738" w14:textId="02A4B3FF" w:rsidR="0097677A" w:rsidRDefault="0097677A">
      <w:pPr>
        <w:pStyle w:val="FootnoteText"/>
      </w:pPr>
      <w:r>
        <w:rPr>
          <w:rStyle w:val="FootnoteReference"/>
        </w:rPr>
        <w:footnoteRef/>
      </w:r>
      <w:r>
        <w:t xml:space="preserve"> </w:t>
      </w:r>
      <w:r w:rsidR="00F36EE3">
        <w:t xml:space="preserve">SFHA, April 2023 </w:t>
      </w:r>
      <w:hyperlink r:id="rId6" w:history="1">
        <w:r w:rsidRPr="00F36EE3">
          <w:rPr>
            <w:rStyle w:val="Hyperlink"/>
          </w:rPr>
          <w:t xml:space="preserve">Getting the </w:t>
        </w:r>
        <w:r w:rsidR="00F36EE3" w:rsidRPr="00F36EE3">
          <w:rPr>
            <w:rStyle w:val="Hyperlink"/>
          </w:rPr>
          <w:t>b</w:t>
        </w:r>
        <w:r w:rsidRPr="00F36EE3">
          <w:rPr>
            <w:rStyle w:val="Hyperlink"/>
          </w:rPr>
          <w:t xml:space="preserve">alance </w:t>
        </w:r>
        <w:r w:rsidR="00F36EE3" w:rsidRPr="00F36EE3">
          <w:rPr>
            <w:rStyle w:val="Hyperlink"/>
          </w:rPr>
          <w:t>r</w:t>
        </w:r>
        <w:r w:rsidRPr="00F36EE3">
          <w:rPr>
            <w:rStyle w:val="Hyperlink"/>
          </w:rPr>
          <w:t>ight</w:t>
        </w:r>
        <w:r w:rsidR="00F36EE3" w:rsidRPr="00F36EE3">
          <w:rPr>
            <w:rStyle w:val="Hyperlink"/>
          </w:rPr>
          <w:t xml:space="preserve"> – operational and strategic responsibility</w:t>
        </w:r>
      </w:hyperlink>
    </w:p>
  </w:footnote>
  <w:footnote w:id="12">
    <w:p w14:paraId="223B4DC3" w14:textId="3C8DD104" w:rsidR="00D15D7F" w:rsidRDefault="00D15D7F">
      <w:pPr>
        <w:pStyle w:val="FootnoteText"/>
      </w:pPr>
      <w:r>
        <w:rPr>
          <w:rStyle w:val="FootnoteReference"/>
        </w:rPr>
        <w:footnoteRef/>
      </w:r>
      <w:r>
        <w:t xml:space="preserve"> See </w:t>
      </w:r>
      <w:r w:rsidR="006E04CA">
        <w:t>Section 8 – Governance Calendar</w:t>
      </w:r>
    </w:p>
  </w:footnote>
  <w:footnote w:id="13">
    <w:p w14:paraId="12A382D2" w14:textId="5B9C3C72" w:rsidR="000941F7" w:rsidRDefault="000941F7">
      <w:pPr>
        <w:pStyle w:val="FootnoteText"/>
      </w:pPr>
      <w:r>
        <w:rPr>
          <w:rStyle w:val="FootnoteReference"/>
        </w:rPr>
        <w:footnoteRef/>
      </w:r>
      <w:r>
        <w:t xml:space="preserve"> See SFHA </w:t>
      </w:r>
      <w:r w:rsidR="001335BA">
        <w:t xml:space="preserve">(April 2023) </w:t>
      </w:r>
      <w:hyperlink r:id="rId7" w:history="1">
        <w:r w:rsidRPr="001335BA">
          <w:rPr>
            <w:rStyle w:val="Hyperlink"/>
          </w:rPr>
          <w:t>Getting the Balance Right</w:t>
        </w:r>
        <w:r w:rsidR="00BE35F7" w:rsidRPr="001335BA">
          <w:rPr>
            <w:rStyle w:val="Hyperlink"/>
          </w:rPr>
          <w:t>: operational &amp; strategic responsibility</w:t>
        </w:r>
      </w:hyperlink>
      <w:r>
        <w:t xml:space="preserve"> </w:t>
      </w:r>
    </w:p>
  </w:footnote>
  <w:footnote w:id="14">
    <w:p w14:paraId="7B8BED5A" w14:textId="63ED3FE4" w:rsidR="00FB5DFB" w:rsidRDefault="00FB5DFB">
      <w:pPr>
        <w:pStyle w:val="FootnoteText"/>
      </w:pPr>
      <w:r>
        <w:rPr>
          <w:rStyle w:val="FootnoteReference"/>
        </w:rPr>
        <w:footnoteRef/>
      </w:r>
      <w:r>
        <w:t xml:space="preserve"> SHR </w:t>
      </w:r>
      <w:r w:rsidR="00680964">
        <w:t>C</w:t>
      </w:r>
      <w:r>
        <w:t xml:space="preserve">onstitutional </w:t>
      </w:r>
      <w:r w:rsidR="0026552D">
        <w:t xml:space="preserve">Requirement </w:t>
      </w:r>
      <w:r>
        <w:t xml:space="preserve"> </w:t>
      </w:r>
      <w:r w:rsidR="00680964">
        <w:t>21 (</w:t>
      </w:r>
      <w:hyperlink r:id="rId8" w:history="1">
        <w:r w:rsidR="00680964" w:rsidRPr="003D56A6">
          <w:rPr>
            <w:rStyle w:val="Hyperlink"/>
          </w:rPr>
          <w:t>Regulatory Framework 2024</w:t>
        </w:r>
      </w:hyperlink>
      <w:r w:rsidR="00680964">
        <w:t xml:space="preserve">); </w:t>
      </w:r>
      <w:hyperlink r:id="rId9" w:history="1">
        <w:r w:rsidR="00680964" w:rsidRPr="00057B26">
          <w:rPr>
            <w:rStyle w:val="Hyperlink"/>
          </w:rPr>
          <w:t>SFHA Model Rules (2020)</w:t>
        </w:r>
      </w:hyperlink>
      <w:r w:rsidR="00680964">
        <w:t xml:space="preserve"> Rule 48</w:t>
      </w:r>
    </w:p>
  </w:footnote>
  <w:footnote w:id="15">
    <w:p w14:paraId="36A593EE" w14:textId="45EA3AA3" w:rsidR="00680964" w:rsidRDefault="00680964">
      <w:pPr>
        <w:pStyle w:val="FootnoteText"/>
      </w:pPr>
      <w:r>
        <w:rPr>
          <w:rStyle w:val="FootnoteReference"/>
        </w:rPr>
        <w:footnoteRef/>
      </w:r>
      <w:r>
        <w:t xml:space="preserve"> </w:t>
      </w:r>
      <w:hyperlink r:id="rId10" w:history="1">
        <w:r w:rsidRPr="00057B26">
          <w:rPr>
            <w:rStyle w:val="Hyperlink"/>
          </w:rPr>
          <w:t>SFHA Model Rules (2020)</w:t>
        </w:r>
      </w:hyperlink>
      <w:r>
        <w:t xml:space="preserve"> Rule 50</w:t>
      </w:r>
    </w:p>
  </w:footnote>
  <w:footnote w:id="16">
    <w:p w14:paraId="562F54E3" w14:textId="78E69C42" w:rsidR="00F927ED" w:rsidRDefault="00F927ED">
      <w:pPr>
        <w:pStyle w:val="FootnoteText"/>
      </w:pPr>
      <w:r>
        <w:rPr>
          <w:rStyle w:val="FootnoteReference"/>
        </w:rPr>
        <w:footnoteRef/>
      </w:r>
      <w:r>
        <w:t xml:space="preserve"> Additional meetings should</w:t>
      </w:r>
      <w:r w:rsidR="00274696">
        <w:t xml:space="preserve"> only be called when absolutely necessary; frequent requirements for extra meetings are likely to suggest the need for governance arrangements to be reviewed</w:t>
      </w:r>
    </w:p>
  </w:footnote>
  <w:footnote w:id="17">
    <w:p w14:paraId="43E4A4E7" w14:textId="1AA0C3DF" w:rsidR="00680964" w:rsidRDefault="00680964">
      <w:pPr>
        <w:pStyle w:val="FootnoteText"/>
      </w:pPr>
      <w:r>
        <w:rPr>
          <w:rStyle w:val="FootnoteReference"/>
        </w:rPr>
        <w:footnoteRef/>
      </w:r>
      <w:r>
        <w:t xml:space="preserve"> </w:t>
      </w:r>
      <w:r w:rsidR="00C166F7">
        <w:t>There is a separate process for calling s</w:t>
      </w:r>
      <w:r>
        <w:t>pecial meetings</w:t>
      </w:r>
      <w:r w:rsidR="00C166F7">
        <w:t>, which will be exceptional and</w:t>
      </w:r>
      <w:r>
        <w:t xml:space="preserve"> are initiated </w:t>
      </w:r>
      <w:r w:rsidR="00C166F7">
        <w:t>either by the Chair or at least two</w:t>
      </w:r>
      <w:r>
        <w:t xml:space="preserve"> GBMs – Rules 56-57 set out the requirements</w:t>
      </w:r>
    </w:p>
  </w:footnote>
  <w:footnote w:id="18">
    <w:p w14:paraId="06547539" w14:textId="01F51778" w:rsidR="00F03F5C" w:rsidRDefault="00F03F5C">
      <w:pPr>
        <w:pStyle w:val="FootnoteText"/>
      </w:pPr>
      <w:r>
        <w:rPr>
          <w:rStyle w:val="FootnoteReference"/>
        </w:rPr>
        <w:footnoteRef/>
      </w:r>
      <w:r>
        <w:t xml:space="preserve"> SFHA Model Rules (2020) Rules 20 and 45</w:t>
      </w:r>
    </w:p>
  </w:footnote>
  <w:footnote w:id="19">
    <w:p w14:paraId="6FA56E36" w14:textId="0C4D3F8C" w:rsidR="00F03F5C" w:rsidRDefault="00F03F5C">
      <w:pPr>
        <w:pStyle w:val="FootnoteText"/>
      </w:pPr>
      <w:r>
        <w:rPr>
          <w:rStyle w:val="FootnoteReference"/>
        </w:rPr>
        <w:footnoteRef/>
      </w:r>
      <w:r>
        <w:t xml:space="preserve"> SHR Regulatory standards of Gvoernacne and Financial Management: Standards 1 &amp; 4</w:t>
      </w:r>
    </w:p>
  </w:footnote>
  <w:footnote w:id="20">
    <w:p w14:paraId="082DF16A" w14:textId="228CFBDB" w:rsidR="00A854E6" w:rsidRDefault="00A854E6">
      <w:pPr>
        <w:pStyle w:val="FootnoteText"/>
      </w:pPr>
      <w:r>
        <w:rPr>
          <w:rStyle w:val="FootnoteReference"/>
        </w:rPr>
        <w:footnoteRef/>
      </w:r>
      <w:r>
        <w:t xml:space="preserve"> The reason for setting maximum length of meetings is to ensure that governance is not compromised by either excessive volume of business or the quality of decision-making being adversely impacted by overly-long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B001" w14:textId="212731B9" w:rsidR="00CE3202" w:rsidRDefault="00CE3202">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A0E6" w14:textId="77777777" w:rsidR="00D22470" w:rsidRDefault="00D22470">
    <w:pPr>
      <w:pStyle w:val="Header"/>
    </w:pPr>
    <w:r>
      <w:tab/>
    </w:r>
    <w:r>
      <w:tab/>
    </w:r>
    <w:r>
      <w:rPr>
        <w:noProof/>
      </w:rPr>
      <w:drawing>
        <wp:inline distT="0" distB="0" distL="0" distR="0" wp14:anchorId="5A128D1E" wp14:editId="14BC9184">
          <wp:extent cx="584200" cy="508000"/>
          <wp:effectExtent l="0" t="0" r="6350" b="6350"/>
          <wp:docPr id="1622993491" name="drawing"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12674" name="drawing" descr="A blue and black logo&#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584200" cy="50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4A27" w14:textId="29674DBB" w:rsidR="003E2F76" w:rsidRDefault="003E2F76">
    <w:pPr>
      <w:pStyle w:val="Header"/>
    </w:pPr>
    <w:r>
      <w:tab/>
    </w:r>
    <w:r>
      <w:tab/>
    </w:r>
    <w:r>
      <w:tab/>
    </w:r>
    <w:r>
      <w:tab/>
    </w:r>
    <w:r>
      <w:tab/>
    </w:r>
    <w:r>
      <w:tab/>
    </w:r>
    <w:r>
      <w:tab/>
    </w:r>
    <w:r>
      <w:tab/>
    </w:r>
    <w:r>
      <w:rPr>
        <w:noProof/>
      </w:rPr>
      <w:drawing>
        <wp:inline distT="0" distB="0" distL="0" distR="0" wp14:anchorId="3B79A278" wp14:editId="445AA970">
          <wp:extent cx="584200" cy="508000"/>
          <wp:effectExtent l="0" t="0" r="6350" b="6350"/>
          <wp:docPr id="400369019" name="drawing"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12674" name="drawing" descr="A blue and black logo&#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584200" cy="50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ED"/>
    <w:multiLevelType w:val="hybridMultilevel"/>
    <w:tmpl w:val="6A7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53149"/>
    <w:multiLevelType w:val="hybridMultilevel"/>
    <w:tmpl w:val="E466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724FA"/>
    <w:multiLevelType w:val="hybridMultilevel"/>
    <w:tmpl w:val="8176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7725A"/>
    <w:multiLevelType w:val="hybridMultilevel"/>
    <w:tmpl w:val="63F2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50AA1"/>
    <w:multiLevelType w:val="hybridMultilevel"/>
    <w:tmpl w:val="A97A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86CCE"/>
    <w:multiLevelType w:val="hybridMultilevel"/>
    <w:tmpl w:val="E1CE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56202"/>
    <w:multiLevelType w:val="hybridMultilevel"/>
    <w:tmpl w:val="D6C4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D4AD0"/>
    <w:multiLevelType w:val="hybridMultilevel"/>
    <w:tmpl w:val="B800675E"/>
    <w:lvl w:ilvl="0" w:tplc="0809000F">
      <w:start w:val="1"/>
      <w:numFmt w:val="decimal"/>
      <w:lvlText w:val="%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68A71CC8"/>
    <w:multiLevelType w:val="hybridMultilevel"/>
    <w:tmpl w:val="A8EE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605F1"/>
    <w:multiLevelType w:val="hybridMultilevel"/>
    <w:tmpl w:val="32C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D1073"/>
    <w:multiLevelType w:val="hybridMultilevel"/>
    <w:tmpl w:val="A850B52A"/>
    <w:lvl w:ilvl="0" w:tplc="9BF6A542">
      <w:start w:val="1"/>
      <w:numFmt w:val="decimal"/>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B51915"/>
    <w:multiLevelType w:val="hybridMultilevel"/>
    <w:tmpl w:val="BBFA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049830">
    <w:abstractNumId w:val="8"/>
  </w:num>
  <w:num w:numId="2" w16cid:durableId="1354453024">
    <w:abstractNumId w:val="3"/>
  </w:num>
  <w:num w:numId="3" w16cid:durableId="663706633">
    <w:abstractNumId w:val="2"/>
  </w:num>
  <w:num w:numId="4" w16cid:durableId="377896653">
    <w:abstractNumId w:val="11"/>
  </w:num>
  <w:num w:numId="5" w16cid:durableId="217598538">
    <w:abstractNumId w:val="5"/>
  </w:num>
  <w:num w:numId="6" w16cid:durableId="1493830600">
    <w:abstractNumId w:val="6"/>
  </w:num>
  <w:num w:numId="7" w16cid:durableId="1678995640">
    <w:abstractNumId w:val="1"/>
  </w:num>
  <w:num w:numId="8" w16cid:durableId="1581257599">
    <w:abstractNumId w:val="4"/>
  </w:num>
  <w:num w:numId="9" w16cid:durableId="1485512792">
    <w:abstractNumId w:val="0"/>
  </w:num>
  <w:num w:numId="10" w16cid:durableId="1582715007">
    <w:abstractNumId w:val="7"/>
  </w:num>
  <w:num w:numId="11" w16cid:durableId="1205407466">
    <w:abstractNumId w:val="10"/>
  </w:num>
  <w:num w:numId="12" w16cid:durableId="119110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09"/>
    <w:rsid w:val="00003016"/>
    <w:rsid w:val="0001037A"/>
    <w:rsid w:val="000417DE"/>
    <w:rsid w:val="00046FD0"/>
    <w:rsid w:val="00047071"/>
    <w:rsid w:val="00057B26"/>
    <w:rsid w:val="00066A8E"/>
    <w:rsid w:val="00067C5A"/>
    <w:rsid w:val="000941F7"/>
    <w:rsid w:val="000A1533"/>
    <w:rsid w:val="000A460E"/>
    <w:rsid w:val="000B6BDC"/>
    <w:rsid w:val="000C546F"/>
    <w:rsid w:val="000C56A4"/>
    <w:rsid w:val="000D4751"/>
    <w:rsid w:val="000E2016"/>
    <w:rsid w:val="000F4DCA"/>
    <w:rsid w:val="000F5D4A"/>
    <w:rsid w:val="001007B9"/>
    <w:rsid w:val="0010522A"/>
    <w:rsid w:val="001151CD"/>
    <w:rsid w:val="00117DFB"/>
    <w:rsid w:val="001208C8"/>
    <w:rsid w:val="001249E4"/>
    <w:rsid w:val="00126232"/>
    <w:rsid w:val="001335BA"/>
    <w:rsid w:val="00143949"/>
    <w:rsid w:val="001535E1"/>
    <w:rsid w:val="00160534"/>
    <w:rsid w:val="001755B4"/>
    <w:rsid w:val="0019103D"/>
    <w:rsid w:val="00191828"/>
    <w:rsid w:val="00197731"/>
    <w:rsid w:val="001A396F"/>
    <w:rsid w:val="001B0436"/>
    <w:rsid w:val="001B6706"/>
    <w:rsid w:val="001B7241"/>
    <w:rsid w:val="001C2020"/>
    <w:rsid w:val="001C7CCB"/>
    <w:rsid w:val="001C7DDA"/>
    <w:rsid w:val="001D39B8"/>
    <w:rsid w:val="001E025A"/>
    <w:rsid w:val="001E2214"/>
    <w:rsid w:val="00206554"/>
    <w:rsid w:val="002240CE"/>
    <w:rsid w:val="00230C03"/>
    <w:rsid w:val="00240CE3"/>
    <w:rsid w:val="00246688"/>
    <w:rsid w:val="0026552D"/>
    <w:rsid w:val="00273F15"/>
    <w:rsid w:val="00274696"/>
    <w:rsid w:val="00291B29"/>
    <w:rsid w:val="00292666"/>
    <w:rsid w:val="00292FFD"/>
    <w:rsid w:val="002E620E"/>
    <w:rsid w:val="002E6AD4"/>
    <w:rsid w:val="002F72A6"/>
    <w:rsid w:val="003031BD"/>
    <w:rsid w:val="00305766"/>
    <w:rsid w:val="003132AC"/>
    <w:rsid w:val="0032315F"/>
    <w:rsid w:val="00342217"/>
    <w:rsid w:val="00355A4B"/>
    <w:rsid w:val="00355D10"/>
    <w:rsid w:val="003562D5"/>
    <w:rsid w:val="003600AD"/>
    <w:rsid w:val="00362282"/>
    <w:rsid w:val="00366540"/>
    <w:rsid w:val="003A589D"/>
    <w:rsid w:val="003A61A6"/>
    <w:rsid w:val="003C122D"/>
    <w:rsid w:val="003C436C"/>
    <w:rsid w:val="003D1CA2"/>
    <w:rsid w:val="003D410D"/>
    <w:rsid w:val="003D4A45"/>
    <w:rsid w:val="003D56A6"/>
    <w:rsid w:val="003E2F76"/>
    <w:rsid w:val="003F2466"/>
    <w:rsid w:val="004005C7"/>
    <w:rsid w:val="0041327E"/>
    <w:rsid w:val="0041647B"/>
    <w:rsid w:val="0042116D"/>
    <w:rsid w:val="00450DAD"/>
    <w:rsid w:val="00455713"/>
    <w:rsid w:val="00456792"/>
    <w:rsid w:val="00461BAF"/>
    <w:rsid w:val="00480608"/>
    <w:rsid w:val="00484DD1"/>
    <w:rsid w:val="00487AED"/>
    <w:rsid w:val="004A76B4"/>
    <w:rsid w:val="004B1979"/>
    <w:rsid w:val="004B42FB"/>
    <w:rsid w:val="004B51E6"/>
    <w:rsid w:val="004C0DB4"/>
    <w:rsid w:val="004C0ED9"/>
    <w:rsid w:val="004C5112"/>
    <w:rsid w:val="004D36F4"/>
    <w:rsid w:val="004E6726"/>
    <w:rsid w:val="004F201E"/>
    <w:rsid w:val="004F4982"/>
    <w:rsid w:val="005039C2"/>
    <w:rsid w:val="00507309"/>
    <w:rsid w:val="00536694"/>
    <w:rsid w:val="005450BA"/>
    <w:rsid w:val="00545913"/>
    <w:rsid w:val="0055198F"/>
    <w:rsid w:val="005523ED"/>
    <w:rsid w:val="00560BC9"/>
    <w:rsid w:val="0057006A"/>
    <w:rsid w:val="00577E98"/>
    <w:rsid w:val="00592ECC"/>
    <w:rsid w:val="00593EB8"/>
    <w:rsid w:val="00596DE2"/>
    <w:rsid w:val="005A5777"/>
    <w:rsid w:val="005B20F9"/>
    <w:rsid w:val="005C29DC"/>
    <w:rsid w:val="005D14F0"/>
    <w:rsid w:val="005E35B7"/>
    <w:rsid w:val="005E51E4"/>
    <w:rsid w:val="005E7642"/>
    <w:rsid w:val="005F1571"/>
    <w:rsid w:val="005F2125"/>
    <w:rsid w:val="005F2766"/>
    <w:rsid w:val="006030FC"/>
    <w:rsid w:val="0061338B"/>
    <w:rsid w:val="006145BE"/>
    <w:rsid w:val="00627BC7"/>
    <w:rsid w:val="006353C8"/>
    <w:rsid w:val="006428A3"/>
    <w:rsid w:val="006522F1"/>
    <w:rsid w:val="00665DA3"/>
    <w:rsid w:val="00680964"/>
    <w:rsid w:val="006914EE"/>
    <w:rsid w:val="006A3BED"/>
    <w:rsid w:val="006A6C21"/>
    <w:rsid w:val="006B6B68"/>
    <w:rsid w:val="006C5953"/>
    <w:rsid w:val="006D2C3D"/>
    <w:rsid w:val="006D45E2"/>
    <w:rsid w:val="006E04CA"/>
    <w:rsid w:val="006E1DFD"/>
    <w:rsid w:val="006F060D"/>
    <w:rsid w:val="006F35AD"/>
    <w:rsid w:val="006F488D"/>
    <w:rsid w:val="00710299"/>
    <w:rsid w:val="0071381D"/>
    <w:rsid w:val="007145C8"/>
    <w:rsid w:val="00734834"/>
    <w:rsid w:val="00735ED8"/>
    <w:rsid w:val="00744657"/>
    <w:rsid w:val="00744D56"/>
    <w:rsid w:val="0074559A"/>
    <w:rsid w:val="00753596"/>
    <w:rsid w:val="00753F75"/>
    <w:rsid w:val="00763C61"/>
    <w:rsid w:val="00763DBC"/>
    <w:rsid w:val="00767202"/>
    <w:rsid w:val="00777C4D"/>
    <w:rsid w:val="00785908"/>
    <w:rsid w:val="0079770D"/>
    <w:rsid w:val="007A0038"/>
    <w:rsid w:val="007A2A90"/>
    <w:rsid w:val="007B0C94"/>
    <w:rsid w:val="007C7BD1"/>
    <w:rsid w:val="007D0703"/>
    <w:rsid w:val="007D4CC6"/>
    <w:rsid w:val="007E4EC9"/>
    <w:rsid w:val="007E5DBC"/>
    <w:rsid w:val="007E7062"/>
    <w:rsid w:val="007E76F1"/>
    <w:rsid w:val="007F060A"/>
    <w:rsid w:val="007F2B8E"/>
    <w:rsid w:val="007F55A4"/>
    <w:rsid w:val="007F5941"/>
    <w:rsid w:val="007F6535"/>
    <w:rsid w:val="00803DE0"/>
    <w:rsid w:val="0081727A"/>
    <w:rsid w:val="0082293C"/>
    <w:rsid w:val="008242A0"/>
    <w:rsid w:val="00824FB5"/>
    <w:rsid w:val="008342DB"/>
    <w:rsid w:val="00837333"/>
    <w:rsid w:val="00837391"/>
    <w:rsid w:val="008440A4"/>
    <w:rsid w:val="008608AD"/>
    <w:rsid w:val="008635F8"/>
    <w:rsid w:val="008709C9"/>
    <w:rsid w:val="0087277A"/>
    <w:rsid w:val="0087506F"/>
    <w:rsid w:val="00885392"/>
    <w:rsid w:val="0089512D"/>
    <w:rsid w:val="008A0C04"/>
    <w:rsid w:val="008B5D1E"/>
    <w:rsid w:val="008B5E91"/>
    <w:rsid w:val="008D12F0"/>
    <w:rsid w:val="008D159D"/>
    <w:rsid w:val="008D444D"/>
    <w:rsid w:val="008D7D71"/>
    <w:rsid w:val="008E6B2A"/>
    <w:rsid w:val="008F74E8"/>
    <w:rsid w:val="00922D6A"/>
    <w:rsid w:val="0094065A"/>
    <w:rsid w:val="00943B57"/>
    <w:rsid w:val="009452E7"/>
    <w:rsid w:val="00951AAC"/>
    <w:rsid w:val="00974611"/>
    <w:rsid w:val="0097677A"/>
    <w:rsid w:val="009773C9"/>
    <w:rsid w:val="009778DF"/>
    <w:rsid w:val="00977B28"/>
    <w:rsid w:val="00981035"/>
    <w:rsid w:val="00986B8A"/>
    <w:rsid w:val="00987EDC"/>
    <w:rsid w:val="009966BB"/>
    <w:rsid w:val="009A2ED0"/>
    <w:rsid w:val="009A4278"/>
    <w:rsid w:val="009A6CAB"/>
    <w:rsid w:val="009B27F9"/>
    <w:rsid w:val="009B6E03"/>
    <w:rsid w:val="009C23BD"/>
    <w:rsid w:val="009C5608"/>
    <w:rsid w:val="009C7E46"/>
    <w:rsid w:val="009D0970"/>
    <w:rsid w:val="009D2D7F"/>
    <w:rsid w:val="009D46F6"/>
    <w:rsid w:val="009E4CF8"/>
    <w:rsid w:val="009F46F2"/>
    <w:rsid w:val="009F708D"/>
    <w:rsid w:val="00A118C0"/>
    <w:rsid w:val="00A17699"/>
    <w:rsid w:val="00A24535"/>
    <w:rsid w:val="00A33A38"/>
    <w:rsid w:val="00A34DBF"/>
    <w:rsid w:val="00A60FB2"/>
    <w:rsid w:val="00A854E6"/>
    <w:rsid w:val="00A933D9"/>
    <w:rsid w:val="00A93DC9"/>
    <w:rsid w:val="00A96DB5"/>
    <w:rsid w:val="00AA5319"/>
    <w:rsid w:val="00AA6533"/>
    <w:rsid w:val="00AB2E01"/>
    <w:rsid w:val="00AC12D6"/>
    <w:rsid w:val="00AE1DB5"/>
    <w:rsid w:val="00AF758D"/>
    <w:rsid w:val="00B20E64"/>
    <w:rsid w:val="00B263F0"/>
    <w:rsid w:val="00B267B4"/>
    <w:rsid w:val="00B26CBB"/>
    <w:rsid w:val="00B26F8E"/>
    <w:rsid w:val="00B3415A"/>
    <w:rsid w:val="00B369A8"/>
    <w:rsid w:val="00B40287"/>
    <w:rsid w:val="00B411E9"/>
    <w:rsid w:val="00B54BF1"/>
    <w:rsid w:val="00B56721"/>
    <w:rsid w:val="00B664D9"/>
    <w:rsid w:val="00B703B0"/>
    <w:rsid w:val="00B76C10"/>
    <w:rsid w:val="00B843CA"/>
    <w:rsid w:val="00B9171F"/>
    <w:rsid w:val="00B920F6"/>
    <w:rsid w:val="00BA0FE0"/>
    <w:rsid w:val="00BB16D5"/>
    <w:rsid w:val="00BB298D"/>
    <w:rsid w:val="00BB756D"/>
    <w:rsid w:val="00BC4957"/>
    <w:rsid w:val="00BC4FA3"/>
    <w:rsid w:val="00BE1364"/>
    <w:rsid w:val="00BE35F7"/>
    <w:rsid w:val="00C023A0"/>
    <w:rsid w:val="00C07A4A"/>
    <w:rsid w:val="00C166F7"/>
    <w:rsid w:val="00C2161F"/>
    <w:rsid w:val="00C378C6"/>
    <w:rsid w:val="00C520E0"/>
    <w:rsid w:val="00C52AAB"/>
    <w:rsid w:val="00C6505B"/>
    <w:rsid w:val="00C66B7A"/>
    <w:rsid w:val="00C73BDB"/>
    <w:rsid w:val="00C76385"/>
    <w:rsid w:val="00C7654F"/>
    <w:rsid w:val="00C80C00"/>
    <w:rsid w:val="00C90CC4"/>
    <w:rsid w:val="00C94FF9"/>
    <w:rsid w:val="00CA203F"/>
    <w:rsid w:val="00CB0775"/>
    <w:rsid w:val="00CB1795"/>
    <w:rsid w:val="00CB5226"/>
    <w:rsid w:val="00CB7D61"/>
    <w:rsid w:val="00CC22CB"/>
    <w:rsid w:val="00CC5D6A"/>
    <w:rsid w:val="00CC68F3"/>
    <w:rsid w:val="00CE3202"/>
    <w:rsid w:val="00CF2C29"/>
    <w:rsid w:val="00CF4045"/>
    <w:rsid w:val="00CF6908"/>
    <w:rsid w:val="00D14B5C"/>
    <w:rsid w:val="00D15D7F"/>
    <w:rsid w:val="00D16BD7"/>
    <w:rsid w:val="00D20460"/>
    <w:rsid w:val="00D22470"/>
    <w:rsid w:val="00D355CA"/>
    <w:rsid w:val="00D43BAE"/>
    <w:rsid w:val="00D43D03"/>
    <w:rsid w:val="00D453E7"/>
    <w:rsid w:val="00D520B8"/>
    <w:rsid w:val="00D63692"/>
    <w:rsid w:val="00D76903"/>
    <w:rsid w:val="00D85A68"/>
    <w:rsid w:val="00DA156E"/>
    <w:rsid w:val="00DA25A3"/>
    <w:rsid w:val="00DC4B27"/>
    <w:rsid w:val="00DC6192"/>
    <w:rsid w:val="00DC7706"/>
    <w:rsid w:val="00E01633"/>
    <w:rsid w:val="00E0174E"/>
    <w:rsid w:val="00E16BFA"/>
    <w:rsid w:val="00E1798D"/>
    <w:rsid w:val="00E17F91"/>
    <w:rsid w:val="00E20695"/>
    <w:rsid w:val="00E225EC"/>
    <w:rsid w:val="00E22C00"/>
    <w:rsid w:val="00E24F8D"/>
    <w:rsid w:val="00E2593C"/>
    <w:rsid w:val="00E26163"/>
    <w:rsid w:val="00E26363"/>
    <w:rsid w:val="00E444FC"/>
    <w:rsid w:val="00E54C21"/>
    <w:rsid w:val="00E62734"/>
    <w:rsid w:val="00E71959"/>
    <w:rsid w:val="00E94FE3"/>
    <w:rsid w:val="00EA0603"/>
    <w:rsid w:val="00EA3C92"/>
    <w:rsid w:val="00EA72FA"/>
    <w:rsid w:val="00EB5727"/>
    <w:rsid w:val="00EC28F4"/>
    <w:rsid w:val="00EC5746"/>
    <w:rsid w:val="00EC65BF"/>
    <w:rsid w:val="00EE2964"/>
    <w:rsid w:val="00EE4377"/>
    <w:rsid w:val="00EF0F63"/>
    <w:rsid w:val="00EF10CA"/>
    <w:rsid w:val="00EF2375"/>
    <w:rsid w:val="00EF45F9"/>
    <w:rsid w:val="00EF6A5A"/>
    <w:rsid w:val="00F02083"/>
    <w:rsid w:val="00F03F5C"/>
    <w:rsid w:val="00F07933"/>
    <w:rsid w:val="00F07DA8"/>
    <w:rsid w:val="00F12E43"/>
    <w:rsid w:val="00F168C7"/>
    <w:rsid w:val="00F212B2"/>
    <w:rsid w:val="00F36EE3"/>
    <w:rsid w:val="00F55933"/>
    <w:rsid w:val="00F64689"/>
    <w:rsid w:val="00F67597"/>
    <w:rsid w:val="00F6787B"/>
    <w:rsid w:val="00F705CA"/>
    <w:rsid w:val="00F732A9"/>
    <w:rsid w:val="00F86E1D"/>
    <w:rsid w:val="00F927ED"/>
    <w:rsid w:val="00FB5DFB"/>
    <w:rsid w:val="00FD307A"/>
    <w:rsid w:val="00FE3126"/>
    <w:rsid w:val="00FF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03EE"/>
  <w15:chartTrackingRefBased/>
  <w15:docId w15:val="{892420CA-3B94-4C34-86D6-C32F799D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3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73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730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073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730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73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73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73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73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3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73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730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5073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73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73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73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73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73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7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3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3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7309"/>
    <w:pPr>
      <w:spacing w:before="160"/>
      <w:jc w:val="center"/>
    </w:pPr>
    <w:rPr>
      <w:i/>
      <w:iCs/>
      <w:color w:val="404040" w:themeColor="text1" w:themeTint="BF"/>
    </w:rPr>
  </w:style>
  <w:style w:type="character" w:customStyle="1" w:styleId="QuoteChar">
    <w:name w:val="Quote Char"/>
    <w:basedOn w:val="DefaultParagraphFont"/>
    <w:link w:val="Quote"/>
    <w:uiPriority w:val="29"/>
    <w:rsid w:val="00507309"/>
    <w:rPr>
      <w:i/>
      <w:iCs/>
      <w:color w:val="404040" w:themeColor="text1" w:themeTint="BF"/>
    </w:rPr>
  </w:style>
  <w:style w:type="paragraph" w:styleId="ListParagraph">
    <w:name w:val="List Paragraph"/>
    <w:basedOn w:val="Normal"/>
    <w:uiPriority w:val="34"/>
    <w:qFormat/>
    <w:rsid w:val="00507309"/>
    <w:pPr>
      <w:ind w:left="720"/>
      <w:contextualSpacing/>
    </w:pPr>
  </w:style>
  <w:style w:type="character" w:styleId="IntenseEmphasis">
    <w:name w:val="Intense Emphasis"/>
    <w:basedOn w:val="DefaultParagraphFont"/>
    <w:uiPriority w:val="21"/>
    <w:qFormat/>
    <w:rsid w:val="00507309"/>
    <w:rPr>
      <w:i/>
      <w:iCs/>
      <w:color w:val="2F5496" w:themeColor="accent1" w:themeShade="BF"/>
    </w:rPr>
  </w:style>
  <w:style w:type="paragraph" w:styleId="IntenseQuote">
    <w:name w:val="Intense Quote"/>
    <w:basedOn w:val="Normal"/>
    <w:next w:val="Normal"/>
    <w:link w:val="IntenseQuoteChar"/>
    <w:uiPriority w:val="30"/>
    <w:qFormat/>
    <w:rsid w:val="00507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309"/>
    <w:rPr>
      <w:i/>
      <w:iCs/>
      <w:color w:val="2F5496" w:themeColor="accent1" w:themeShade="BF"/>
    </w:rPr>
  </w:style>
  <w:style w:type="character" w:styleId="IntenseReference">
    <w:name w:val="Intense Reference"/>
    <w:basedOn w:val="DefaultParagraphFont"/>
    <w:uiPriority w:val="32"/>
    <w:qFormat/>
    <w:rsid w:val="00507309"/>
    <w:rPr>
      <w:b/>
      <w:bCs/>
      <w:smallCaps/>
      <w:color w:val="2F5496" w:themeColor="accent1" w:themeShade="BF"/>
      <w:spacing w:val="5"/>
    </w:rPr>
  </w:style>
  <w:style w:type="paragraph" w:styleId="FootnoteText">
    <w:name w:val="footnote text"/>
    <w:basedOn w:val="Normal"/>
    <w:link w:val="FootnoteTextChar"/>
    <w:uiPriority w:val="99"/>
    <w:semiHidden/>
    <w:unhideWhenUsed/>
    <w:rsid w:val="00E259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93C"/>
    <w:rPr>
      <w:sz w:val="20"/>
      <w:szCs w:val="20"/>
    </w:rPr>
  </w:style>
  <w:style w:type="character" w:styleId="FootnoteReference">
    <w:name w:val="footnote reference"/>
    <w:basedOn w:val="DefaultParagraphFont"/>
    <w:uiPriority w:val="99"/>
    <w:semiHidden/>
    <w:unhideWhenUsed/>
    <w:rsid w:val="00E2593C"/>
    <w:rPr>
      <w:vertAlign w:val="superscript"/>
    </w:rPr>
  </w:style>
  <w:style w:type="character" w:styleId="CommentReference">
    <w:name w:val="annotation reference"/>
    <w:basedOn w:val="DefaultParagraphFont"/>
    <w:uiPriority w:val="99"/>
    <w:semiHidden/>
    <w:unhideWhenUsed/>
    <w:rsid w:val="009452E7"/>
    <w:rPr>
      <w:sz w:val="16"/>
      <w:szCs w:val="16"/>
    </w:rPr>
  </w:style>
  <w:style w:type="paragraph" w:styleId="CommentText">
    <w:name w:val="annotation text"/>
    <w:basedOn w:val="Normal"/>
    <w:link w:val="CommentTextChar"/>
    <w:uiPriority w:val="99"/>
    <w:unhideWhenUsed/>
    <w:rsid w:val="009452E7"/>
    <w:pPr>
      <w:spacing w:line="240" w:lineRule="auto"/>
    </w:pPr>
    <w:rPr>
      <w:sz w:val="20"/>
      <w:szCs w:val="20"/>
    </w:rPr>
  </w:style>
  <w:style w:type="character" w:customStyle="1" w:styleId="CommentTextChar">
    <w:name w:val="Comment Text Char"/>
    <w:basedOn w:val="DefaultParagraphFont"/>
    <w:link w:val="CommentText"/>
    <w:uiPriority w:val="99"/>
    <w:rsid w:val="009452E7"/>
    <w:rPr>
      <w:sz w:val="20"/>
      <w:szCs w:val="20"/>
    </w:rPr>
  </w:style>
  <w:style w:type="paragraph" w:styleId="CommentSubject">
    <w:name w:val="annotation subject"/>
    <w:basedOn w:val="CommentText"/>
    <w:next w:val="CommentText"/>
    <w:link w:val="CommentSubjectChar"/>
    <w:uiPriority w:val="99"/>
    <w:semiHidden/>
    <w:unhideWhenUsed/>
    <w:rsid w:val="009452E7"/>
    <w:rPr>
      <w:b/>
      <w:bCs/>
    </w:rPr>
  </w:style>
  <w:style w:type="character" w:customStyle="1" w:styleId="CommentSubjectChar">
    <w:name w:val="Comment Subject Char"/>
    <w:basedOn w:val="CommentTextChar"/>
    <w:link w:val="CommentSubject"/>
    <w:uiPriority w:val="99"/>
    <w:semiHidden/>
    <w:rsid w:val="009452E7"/>
    <w:rPr>
      <w:b/>
      <w:bCs/>
      <w:sz w:val="20"/>
      <w:szCs w:val="20"/>
    </w:rPr>
  </w:style>
  <w:style w:type="table" w:styleId="TableGrid">
    <w:name w:val="Table Grid"/>
    <w:basedOn w:val="TableNormal"/>
    <w:uiPriority w:val="39"/>
    <w:rsid w:val="00B7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FA3"/>
  </w:style>
  <w:style w:type="paragraph" w:styleId="Footer">
    <w:name w:val="footer"/>
    <w:basedOn w:val="Normal"/>
    <w:link w:val="FooterChar"/>
    <w:uiPriority w:val="99"/>
    <w:unhideWhenUsed/>
    <w:rsid w:val="00BC4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FA3"/>
  </w:style>
  <w:style w:type="character" w:styleId="Hyperlink">
    <w:name w:val="Hyperlink"/>
    <w:basedOn w:val="DefaultParagraphFont"/>
    <w:uiPriority w:val="99"/>
    <w:unhideWhenUsed/>
    <w:rsid w:val="00803DE0"/>
    <w:rPr>
      <w:color w:val="0563C1" w:themeColor="hyperlink"/>
      <w:u w:val="single"/>
    </w:rPr>
  </w:style>
  <w:style w:type="character" w:styleId="UnresolvedMention">
    <w:name w:val="Unresolved Mention"/>
    <w:basedOn w:val="DefaultParagraphFont"/>
    <w:uiPriority w:val="99"/>
    <w:semiHidden/>
    <w:unhideWhenUsed/>
    <w:rsid w:val="00803DE0"/>
    <w:rPr>
      <w:color w:val="605E5C"/>
      <w:shd w:val="clear" w:color="auto" w:fill="E1DFDD"/>
    </w:rPr>
  </w:style>
  <w:style w:type="paragraph" w:styleId="Revision">
    <w:name w:val="Revision"/>
    <w:hidden/>
    <w:uiPriority w:val="99"/>
    <w:semiHidden/>
    <w:rsid w:val="006D45E2"/>
    <w:pPr>
      <w:spacing w:after="0" w:line="240" w:lineRule="auto"/>
    </w:pPr>
  </w:style>
  <w:style w:type="paragraph" w:styleId="NormalWeb">
    <w:name w:val="Normal (Web)"/>
    <w:basedOn w:val="Normal"/>
    <w:uiPriority w:val="99"/>
    <w:semiHidden/>
    <w:unhideWhenUsed/>
    <w:rsid w:val="007138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fha.co.uk/our-work/get-governance" TargetMode="External"/><Relationship Id="rId18" Type="http://schemas.openxmlformats.org/officeDocument/2006/relationships/hyperlink" Target="https://www.sfha.co.uk/our-work/points-consider-when-drafting-standing-orders-dec-2023"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fha.co.uk/our-work/getting-balance-right-operational-and-strategic-responsibility" TargetMode="External"/><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fha.co.uk/our-work/sfha-model-scheme-delegated-authority-dec-20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usingregulator.gov.scot/for-landlords/regulatory-framework/" TargetMode="External"/><Relationship Id="rId3" Type="http://schemas.openxmlformats.org/officeDocument/2006/relationships/hyperlink" Target="http://www.sfha.co.uk/our-work/policy-category/governance-and-regulation/sub-category/governance/policy-article/sfha-governing-body-member-succession-planning-and-recruitment-guidance" TargetMode="External"/><Relationship Id="rId7" Type="http://schemas.openxmlformats.org/officeDocument/2006/relationships/hyperlink" Target="https://www.sfha.co.uk/our-work/getting-balance-right-operational-and-strategic-responsibility" TargetMode="External"/><Relationship Id="rId2" Type="http://schemas.openxmlformats.org/officeDocument/2006/relationships/hyperlink" Target="https://www.sfha.co.uk/our-work/sfha-governing-body-members-annual-review-jan-2025" TargetMode="External"/><Relationship Id="rId1" Type="http://schemas.openxmlformats.org/officeDocument/2006/relationships/hyperlink" Target="https://www.sfha.co.uk/our-work/get-governance" TargetMode="External"/><Relationship Id="rId6" Type="http://schemas.openxmlformats.org/officeDocument/2006/relationships/hyperlink" Target="https://www.sfha.co.uk/our-work/getting-balance-right-operational-and-strategic-responsibility" TargetMode="External"/><Relationship Id="rId5" Type="http://schemas.openxmlformats.org/officeDocument/2006/relationships/hyperlink" Target="http://www.sfha.co.uk/our-work/policy-category/governance-and-regulation/sub-category/governance/policy-article/sfha-model-scheme-of-delegated-authority-now-available" TargetMode="External"/><Relationship Id="rId10" Type="http://schemas.openxmlformats.org/officeDocument/2006/relationships/hyperlink" Target="http://www.sfha.co.uk/our-work/policy-category/governance-and-regulation/sub-category/model-rules/policy-article/sfha-model-rules-and-supporting-guidance-now-available" TargetMode="External"/><Relationship Id="rId4" Type="http://schemas.openxmlformats.org/officeDocument/2006/relationships/hyperlink" Target="https://www.sfha.co.uk/our-work/getting-balance-right-operational-and-strategic-responsibility" TargetMode="External"/><Relationship Id="rId9" Type="http://schemas.openxmlformats.org/officeDocument/2006/relationships/hyperlink" Target="http://www.sfha.co.uk/our-work/policy-category/governance-and-regulation/sub-category/model-rules/policy-article/sfha-model-rules-and-supporting-guidance-now-availa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CD3F-2E16-4661-ABC8-848F594F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5816</Words>
  <Characters>33035</Characters>
  <Application>Microsoft Office Word</Application>
  <DocSecurity>0</DocSecurity>
  <Lines>869</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Ewart</dc:creator>
  <cp:keywords/>
  <dc:description/>
  <cp:lastModifiedBy>Alan Stokes</cp:lastModifiedBy>
  <cp:revision>5</cp:revision>
  <dcterms:created xsi:type="dcterms:W3CDTF">2026-03-04T17:17:00Z</dcterms:created>
  <dcterms:modified xsi:type="dcterms:W3CDTF">2026-03-04T18:27:00Z</dcterms:modified>
</cp:coreProperties>
</file>